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rawings/drawing4.xml" ContentType="application/vnd.openxmlformats-officedocument.drawingml.chartshapes+xml"/>
  <Override PartName="/word/drawings/drawing3.xml" ContentType="application/vnd.openxmlformats-officedocument.drawingml.chartshapes+xml"/>
  <Override PartName="/word/drawings/drawing5.xml" ContentType="application/vnd.openxmlformats-officedocument.drawingml.chartshapes+xml"/>
  <Override PartName="/word/drawings/drawing7.xml" ContentType="application/vnd.openxmlformats-officedocument.drawingml.chartshapes+xml"/>
  <Override PartName="/word/drawings/drawing2.xml" ContentType="application/vnd.openxmlformats-officedocument.drawingml.chartshapes+xml"/>
  <Override PartName="/word/drawings/drawing8.xml" ContentType="application/vnd.openxmlformats-officedocument.drawingml.chartshapes+xml"/>
  <Override PartName="/word/drawings/drawing6.xml" ContentType="application/vnd.openxmlformats-officedocument.drawingml.chartshap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charts/style1.xml" ContentType="application/vnd.ms-office.chartstyle+xml"/>
  <Override PartName="/word/charts/chart11.xml" ContentType="application/vnd.openxmlformats-officedocument.drawingml.chart+xml"/>
  <Override PartName="/word/charts/chart12.xml" ContentType="application/vnd.openxmlformats-officedocument.drawingml.chart+xml"/>
  <Override PartName="/word/charts/chart10.xml" ContentType="application/vnd.openxmlformats-officedocument.drawingml.chart+xml"/>
  <Override PartName="/word/charts/chart9.xml" ContentType="application/vnd.openxmlformats-officedocument.drawingml.chart+xml"/>
  <Override PartName="/word/theme/theme1.xml" ContentType="application/vnd.openxmlformats-officedocument.theme+xml"/>
  <Override PartName="/word/charts/colors3.xml" ContentType="application/vnd.ms-office.chartcolorstyle+xml"/>
  <Override PartName="/word/charts/style3.xml" ContentType="application/vnd.ms-office.chartstyle+xml"/>
  <Override PartName="/word/charts/chart8.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hart4.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9377C" w14:textId="28525D97" w:rsidR="001352F1" w:rsidRDefault="00E641F9" w:rsidP="001822B2">
      <w:pPr>
        <w:pStyle w:val="EcoPubTitle"/>
        <w:jc w:val="left"/>
      </w:pPr>
      <w:r>
        <w:rPr>
          <w:lang w:bidi="ar-SA"/>
        </w:rPr>
        <w:drawing>
          <wp:inline distT="0" distB="0" distL="0" distR="0" wp14:anchorId="7ADD2678" wp14:editId="1119C7C7">
            <wp:extent cx="7486650" cy="11175724"/>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3148" cy="11185423"/>
                    </a:xfrm>
                    <a:prstGeom prst="rect">
                      <a:avLst/>
                    </a:prstGeom>
                    <a:noFill/>
                    <a:ln>
                      <a:noFill/>
                    </a:ln>
                  </pic:spPr>
                </pic:pic>
              </a:graphicData>
            </a:graphic>
          </wp:inline>
        </w:drawing>
      </w:r>
    </w:p>
    <w:p w14:paraId="2B1F33CF" w14:textId="37C1A5C4" w:rsidR="001822B2" w:rsidRDefault="001822B2" w:rsidP="001822B2">
      <w:pPr>
        <w:pStyle w:val="EcoHeading1"/>
        <w:ind w:left="0"/>
        <w:rPr>
          <w:rFonts w:eastAsia="MS Gothic"/>
          <w:noProof/>
          <w:spacing w:val="-10"/>
          <w:kern w:val="28"/>
          <w:sz w:val="44"/>
          <w:szCs w:val="44"/>
          <w:lang w:val="en-US" w:bidi="ar-AE"/>
        </w:rPr>
        <w:sectPr w:rsidR="001822B2" w:rsidSect="001822B2">
          <w:footerReference w:type="default" r:id="rId9"/>
          <w:pgSz w:w="11907" w:h="16839" w:code="9"/>
          <w:pgMar w:top="0" w:right="0" w:bottom="0" w:left="0" w:header="720" w:footer="720" w:gutter="0"/>
          <w:cols w:space="720"/>
          <w:docGrid w:linePitch="360"/>
        </w:sectPr>
      </w:pPr>
      <w:bookmarkStart w:id="0" w:name="_Toc409081969"/>
      <w:bookmarkStart w:id="1" w:name="_Toc409085122"/>
      <w:bookmarkStart w:id="2" w:name="_Toc317579530"/>
      <w:bookmarkStart w:id="3" w:name="_Toc310768993"/>
    </w:p>
    <w:p w14:paraId="4FE7AA94" w14:textId="365DBD83" w:rsidR="001352F1" w:rsidRPr="00A90CEC" w:rsidRDefault="001352F1" w:rsidP="001822B2">
      <w:pPr>
        <w:pStyle w:val="EcoHeading1"/>
        <w:ind w:left="0"/>
      </w:pPr>
      <w:r w:rsidRPr="00A90CEC">
        <w:lastRenderedPageBreak/>
        <w:t>Table of Contents</w:t>
      </w:r>
      <w:bookmarkEnd w:id="0"/>
      <w:bookmarkEnd w:id="1"/>
    </w:p>
    <w:p w14:paraId="0587C005" w14:textId="10DC4824" w:rsidR="001352F1" w:rsidRDefault="001352F1" w:rsidP="001352F1">
      <w:pPr>
        <w:pStyle w:val="EcoContent"/>
      </w:pPr>
    </w:p>
    <w:p w14:paraId="43DE2189" w14:textId="77777777" w:rsidR="0059078D" w:rsidRDefault="0059078D" w:rsidP="0059078D">
      <w:pPr>
        <w:pStyle w:val="EcoContent"/>
      </w:pPr>
      <w:r>
        <w:t>Introduction ………………………………………………………………………</w:t>
      </w:r>
      <w:r w:rsidR="009669B8">
        <w:t>…</w:t>
      </w:r>
      <w:r>
        <w:t>…………...............................5</w:t>
      </w:r>
    </w:p>
    <w:p w14:paraId="3BB95492" w14:textId="77777777" w:rsidR="00F3478C" w:rsidRDefault="0059078D" w:rsidP="00F3478C">
      <w:pPr>
        <w:pStyle w:val="EcoContent"/>
      </w:pPr>
      <w:r>
        <w:t>Key Economic Developments ……………………………………………………</w:t>
      </w:r>
      <w:r w:rsidR="009669B8">
        <w:t>…</w:t>
      </w:r>
      <w:r>
        <w:t xml:space="preserve">………….…….………….…6 </w:t>
      </w:r>
    </w:p>
    <w:p w14:paraId="4FEE29AC" w14:textId="77777777" w:rsidR="0059078D" w:rsidRDefault="0059078D" w:rsidP="00F3478C">
      <w:pPr>
        <w:pStyle w:val="EcoContent"/>
      </w:pPr>
      <w:r>
        <w:t>Oil and Non-oil Gross Domestic Product at Current Prices ………………………………..</w:t>
      </w:r>
      <w:r>
        <w:tab/>
        <w:t>7</w:t>
      </w:r>
    </w:p>
    <w:p w14:paraId="7EC19401" w14:textId="77777777" w:rsidR="0059078D" w:rsidRDefault="0059078D" w:rsidP="0059078D">
      <w:pPr>
        <w:pStyle w:val="EcoContent"/>
      </w:pPr>
      <w:r>
        <w:t>Oil and Non-oil Gross Domestic Product at Constant Prices …………………………...….</w:t>
      </w:r>
      <w:r>
        <w:tab/>
        <w:t>8</w:t>
      </w:r>
    </w:p>
    <w:p w14:paraId="6357F979" w14:textId="06163947" w:rsidR="0059078D" w:rsidRDefault="0059078D" w:rsidP="009E6836">
      <w:pPr>
        <w:pStyle w:val="EcoContent"/>
      </w:pPr>
      <w:r>
        <w:t>Gross Domestic Product by Sectors at Current Prices ……………………………..….......</w:t>
      </w:r>
      <w:r>
        <w:tab/>
      </w:r>
      <w:r w:rsidR="009E6836">
        <w:t>9</w:t>
      </w:r>
    </w:p>
    <w:p w14:paraId="410A94C3" w14:textId="1DFB47A5" w:rsidR="0059078D" w:rsidRDefault="0059078D" w:rsidP="009E6836">
      <w:pPr>
        <w:pStyle w:val="EcoContent"/>
      </w:pPr>
      <w:r>
        <w:t>Gross Domestic Product by Sectors at Constant Prices……………………………….……</w:t>
      </w:r>
      <w:r>
        <w:tab/>
      </w:r>
      <w:r w:rsidR="00D017AA">
        <w:t>1</w:t>
      </w:r>
      <w:r w:rsidR="009E6836">
        <w:t>2</w:t>
      </w:r>
    </w:p>
    <w:p w14:paraId="4DF9D5B4" w14:textId="77777777" w:rsidR="0059078D" w:rsidRDefault="0059078D" w:rsidP="0059078D">
      <w:pPr>
        <w:pStyle w:val="EcoContent"/>
      </w:pPr>
      <w:r>
        <w:t>Statistical Tables  ………………………………………………………..………..…...….…….</w:t>
      </w:r>
      <w:r>
        <w:tab/>
        <w:t>15</w:t>
      </w:r>
    </w:p>
    <w:p w14:paraId="04884491" w14:textId="65B5EE89" w:rsidR="004C1F8E" w:rsidRDefault="0059078D" w:rsidP="009E6836">
      <w:pPr>
        <w:pStyle w:val="EcoContent"/>
      </w:pPr>
      <w:r>
        <w:t>Explanatory Notes…………………………………………………………………………..……</w:t>
      </w:r>
      <w:r>
        <w:tab/>
      </w:r>
      <w:r w:rsidR="009E6836">
        <w:t>20</w:t>
      </w:r>
    </w:p>
    <w:p w14:paraId="7ABB30E9" w14:textId="2B49358D" w:rsidR="004C1F8E" w:rsidRDefault="004C1F8E" w:rsidP="009E6836">
      <w:pPr>
        <w:pStyle w:val="EcoContent"/>
        <w:jc w:val="left"/>
      </w:pPr>
      <w:r>
        <w:t>Glossary of Terms and Acronyms…………………………………………..…………………………………</w:t>
      </w:r>
      <w:r w:rsidR="009E6836" w:rsidRPr="009E6836">
        <w:rPr>
          <w:sz w:val="16"/>
          <w:szCs w:val="16"/>
        </w:rPr>
        <w:t>.</w:t>
      </w:r>
      <w:r>
        <w:t>…2</w:t>
      </w:r>
      <w:r w:rsidR="009E6836">
        <w:t>2</w:t>
      </w:r>
    </w:p>
    <w:p w14:paraId="7A504A5C" w14:textId="77777777" w:rsidR="00C727AA" w:rsidRDefault="001352F1" w:rsidP="00866311">
      <w:pPr>
        <w:pStyle w:val="EcoHeading1"/>
        <w:ind w:left="0"/>
      </w:pPr>
      <w:r>
        <w:br w:type="page"/>
      </w:r>
      <w:r w:rsidR="00C727AA">
        <w:lastRenderedPageBreak/>
        <w:t>List of Tables</w:t>
      </w:r>
    </w:p>
    <w:p w14:paraId="7541A507" w14:textId="77777777" w:rsidR="00C727AA" w:rsidRDefault="00C727AA" w:rsidP="0089209C">
      <w:pPr>
        <w:pStyle w:val="EcoHeading1"/>
      </w:pPr>
    </w:p>
    <w:tbl>
      <w:tblPr>
        <w:tblW w:w="9778" w:type="dxa"/>
        <w:jc w:val="center"/>
        <w:tblLayout w:type="fixed"/>
        <w:tblLook w:val="04A0" w:firstRow="1" w:lastRow="0" w:firstColumn="1" w:lastColumn="0" w:noHBand="0" w:noVBand="1"/>
      </w:tblPr>
      <w:tblGrid>
        <w:gridCol w:w="9778"/>
      </w:tblGrid>
      <w:tr w:rsidR="00B1588C" w:rsidRPr="000432F2" w14:paraId="2647E711" w14:textId="77777777" w:rsidTr="00B1588C">
        <w:trPr>
          <w:trHeight w:val="424"/>
          <w:jc w:val="center"/>
        </w:trPr>
        <w:tc>
          <w:tcPr>
            <w:tcW w:w="8698" w:type="dxa"/>
            <w:shd w:val="clear" w:color="auto" w:fill="auto"/>
          </w:tcPr>
          <w:p w14:paraId="7264F640" w14:textId="5D401A5A" w:rsidR="00B1588C" w:rsidRPr="000432F2" w:rsidRDefault="00B1588C" w:rsidP="00B74E1F">
            <w:pPr>
              <w:autoSpaceDE w:val="0"/>
              <w:autoSpaceDN w:val="0"/>
              <w:adjustRightInd w:val="0"/>
              <w:spacing w:line="360" w:lineRule="auto"/>
              <w:ind w:right="-68"/>
              <w:rPr>
                <w:rFonts w:ascii="Arial" w:eastAsia="Calibri" w:hAnsi="Arial"/>
                <w:color w:val="595959"/>
                <w:sz w:val="20"/>
                <w:szCs w:val="20"/>
              </w:rPr>
            </w:pPr>
            <w:r w:rsidRPr="000432F2">
              <w:rPr>
                <w:rFonts w:ascii="Arial" w:eastAsia="Calibri" w:hAnsi="Arial"/>
                <w:color w:val="595959"/>
                <w:sz w:val="20"/>
                <w:szCs w:val="20"/>
              </w:rPr>
              <w:t xml:space="preserve">Table 1: </w:t>
            </w:r>
            <w:r w:rsidR="00613CF0">
              <w:rPr>
                <w:rFonts w:ascii="Arial" w:eastAsia="Calibri" w:hAnsi="Arial"/>
                <w:color w:val="595959"/>
                <w:sz w:val="20"/>
                <w:szCs w:val="20"/>
              </w:rPr>
              <w:t>Gross Domestic Product</w:t>
            </w:r>
            <w:r w:rsidRPr="000432F2">
              <w:rPr>
                <w:rFonts w:ascii="Arial" w:eastAsia="Calibri" w:hAnsi="Arial"/>
                <w:color w:val="595959"/>
                <w:sz w:val="20"/>
                <w:szCs w:val="20"/>
              </w:rPr>
              <w:t xml:space="preserve"> key statist</w:t>
            </w:r>
            <w:r w:rsidR="00613CF0">
              <w:rPr>
                <w:rFonts w:ascii="Arial" w:eastAsia="Calibri" w:hAnsi="Arial"/>
                <w:color w:val="595959"/>
                <w:sz w:val="20"/>
                <w:szCs w:val="20"/>
              </w:rPr>
              <w:t>ics  ……</w:t>
            </w:r>
            <w:r>
              <w:rPr>
                <w:rFonts w:ascii="Arial" w:eastAsia="Calibri" w:hAnsi="Arial"/>
                <w:color w:val="595959"/>
                <w:sz w:val="20"/>
                <w:szCs w:val="20"/>
              </w:rPr>
              <w:t>………………………</w:t>
            </w:r>
            <w:r w:rsidR="00B55CB8">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sidR="009E6836">
              <w:rPr>
                <w:rFonts w:ascii="Arial" w:eastAsia="Calibri" w:hAnsi="Arial"/>
                <w:color w:val="595959"/>
                <w:sz w:val="20"/>
                <w:szCs w:val="20"/>
              </w:rPr>
              <w:t>…………...</w:t>
            </w:r>
            <w:r>
              <w:rPr>
                <w:rFonts w:ascii="Arial" w:eastAsia="Calibri" w:hAnsi="Arial"/>
                <w:color w:val="595959"/>
                <w:sz w:val="20"/>
                <w:szCs w:val="20"/>
              </w:rPr>
              <w:t>…</w:t>
            </w:r>
            <w:r w:rsidR="009E6836">
              <w:rPr>
                <w:rFonts w:ascii="Arial" w:eastAsia="Calibri" w:hAnsi="Arial"/>
                <w:color w:val="595959"/>
                <w:sz w:val="20"/>
                <w:szCs w:val="20"/>
              </w:rPr>
              <w:t>….</w:t>
            </w:r>
            <w:r w:rsidRPr="000432F2">
              <w:rPr>
                <w:rFonts w:ascii="Arial" w:eastAsia="Calibri" w:hAnsi="Arial"/>
                <w:color w:val="595959"/>
                <w:sz w:val="20"/>
                <w:szCs w:val="20"/>
              </w:rPr>
              <w:t>.1</w:t>
            </w:r>
            <w:r>
              <w:rPr>
                <w:rFonts w:ascii="Arial" w:eastAsia="Calibri" w:hAnsi="Arial"/>
                <w:color w:val="595959"/>
                <w:sz w:val="20"/>
                <w:szCs w:val="20"/>
              </w:rPr>
              <w:t>5</w:t>
            </w:r>
          </w:p>
        </w:tc>
      </w:tr>
      <w:tr w:rsidR="00B1588C" w:rsidRPr="000432F2" w14:paraId="354A5DD1" w14:textId="77777777" w:rsidTr="00B1588C">
        <w:trPr>
          <w:trHeight w:val="363"/>
          <w:jc w:val="center"/>
        </w:trPr>
        <w:tc>
          <w:tcPr>
            <w:tcW w:w="8698" w:type="dxa"/>
            <w:shd w:val="clear" w:color="auto" w:fill="auto"/>
          </w:tcPr>
          <w:p w14:paraId="2F784DB8" w14:textId="7B1C600F" w:rsidR="00B1588C" w:rsidRPr="000432F2" w:rsidRDefault="00B1588C" w:rsidP="004B4B68">
            <w:pPr>
              <w:autoSpaceDE w:val="0"/>
              <w:autoSpaceDN w:val="0"/>
              <w:adjustRightInd w:val="0"/>
              <w:spacing w:line="360" w:lineRule="auto"/>
              <w:ind w:right="22"/>
              <w:jc w:val="both"/>
              <w:rPr>
                <w:rFonts w:ascii="Arial" w:eastAsia="Calibri" w:hAnsi="Arial"/>
                <w:color w:val="595959"/>
                <w:sz w:val="20"/>
                <w:szCs w:val="20"/>
              </w:rPr>
            </w:pPr>
            <w:r w:rsidRPr="000432F2">
              <w:rPr>
                <w:rFonts w:ascii="Arial" w:eastAsia="Calibri" w:hAnsi="Arial"/>
                <w:color w:val="595959"/>
                <w:sz w:val="20"/>
                <w:szCs w:val="20"/>
              </w:rPr>
              <w:t xml:space="preserve">Table 2: </w:t>
            </w:r>
            <w:r w:rsidR="00274B09" w:rsidRPr="00274B09">
              <w:rPr>
                <w:rFonts w:ascii="Arial" w:eastAsia="Calibri" w:hAnsi="Arial"/>
                <w:color w:val="595959"/>
                <w:sz w:val="20"/>
                <w:szCs w:val="20"/>
              </w:rPr>
              <w:t xml:space="preserve">Oil and Non-oil Gross Domestic Product at current and constant prices </w:t>
            </w:r>
            <w:r>
              <w:rPr>
                <w:rFonts w:ascii="Arial" w:eastAsia="Calibri" w:hAnsi="Arial"/>
                <w:color w:val="595959"/>
                <w:sz w:val="20"/>
                <w:szCs w:val="20"/>
              </w:rPr>
              <w:t>…..…………………….</w:t>
            </w:r>
            <w:r w:rsidRPr="000432F2">
              <w:rPr>
                <w:rFonts w:ascii="Arial" w:eastAsia="Calibri" w:hAnsi="Arial"/>
                <w:color w:val="595959"/>
                <w:sz w:val="20"/>
                <w:szCs w:val="20"/>
              </w:rPr>
              <w:t>…….1</w:t>
            </w:r>
            <w:r>
              <w:rPr>
                <w:rFonts w:ascii="Arial" w:eastAsia="Calibri" w:hAnsi="Arial"/>
                <w:color w:val="595959"/>
                <w:sz w:val="20"/>
                <w:szCs w:val="20"/>
              </w:rPr>
              <w:t>5</w:t>
            </w:r>
          </w:p>
        </w:tc>
      </w:tr>
      <w:tr w:rsidR="00B1588C" w:rsidRPr="000432F2" w14:paraId="29020ABB" w14:textId="77777777" w:rsidTr="00274B09">
        <w:trPr>
          <w:trHeight w:val="550"/>
          <w:jc w:val="center"/>
        </w:trPr>
        <w:tc>
          <w:tcPr>
            <w:tcW w:w="8698" w:type="dxa"/>
            <w:shd w:val="clear" w:color="auto" w:fill="auto"/>
          </w:tcPr>
          <w:p w14:paraId="280027C2" w14:textId="52E5EDF9" w:rsidR="00B1588C" w:rsidRPr="000432F2" w:rsidRDefault="00B1588C" w:rsidP="002C7E7F">
            <w:pPr>
              <w:autoSpaceDE w:val="0"/>
              <w:autoSpaceDN w:val="0"/>
              <w:adjustRightInd w:val="0"/>
              <w:spacing w:line="360" w:lineRule="auto"/>
              <w:ind w:right="-738"/>
              <w:jc w:val="both"/>
              <w:rPr>
                <w:rFonts w:ascii="Arial" w:eastAsia="Calibri" w:hAnsi="Arial"/>
                <w:color w:val="595959"/>
                <w:sz w:val="20"/>
                <w:szCs w:val="20"/>
              </w:rPr>
            </w:pPr>
            <w:r w:rsidRPr="000432F2">
              <w:rPr>
                <w:rFonts w:ascii="Arial" w:eastAsia="Calibri" w:hAnsi="Arial"/>
                <w:color w:val="595959"/>
                <w:sz w:val="20"/>
                <w:szCs w:val="20"/>
              </w:rPr>
              <w:t xml:space="preserve">Table </w:t>
            </w:r>
            <w:r>
              <w:rPr>
                <w:rFonts w:ascii="Arial" w:eastAsia="Calibri" w:hAnsi="Arial"/>
                <w:color w:val="595959"/>
                <w:sz w:val="20"/>
                <w:szCs w:val="20"/>
              </w:rPr>
              <w:t>3</w:t>
            </w:r>
            <w:r w:rsidRPr="000432F2">
              <w:rPr>
                <w:rFonts w:ascii="Arial" w:eastAsia="Calibri" w:hAnsi="Arial"/>
                <w:color w:val="595959"/>
                <w:sz w:val="20"/>
                <w:szCs w:val="20"/>
              </w:rPr>
              <w:t xml:space="preserve">: </w:t>
            </w:r>
            <w:r w:rsidR="00274B09" w:rsidRPr="00274B09">
              <w:rPr>
                <w:rFonts w:ascii="Arial" w:eastAsia="Calibri" w:hAnsi="Arial"/>
                <w:color w:val="595959"/>
                <w:sz w:val="20"/>
                <w:szCs w:val="20"/>
              </w:rPr>
              <w:t>Percentage change in Oil and Non-oil Gross Domestic Product at current and constant</w:t>
            </w:r>
            <w:r w:rsidR="002C7E7F">
              <w:rPr>
                <w:rFonts w:ascii="Arial" w:eastAsia="Calibri" w:hAnsi="Arial"/>
                <w:color w:val="595959"/>
                <w:sz w:val="20"/>
                <w:szCs w:val="20"/>
              </w:rPr>
              <w:t xml:space="preserve"> </w:t>
            </w:r>
            <w:r w:rsidR="00274B09" w:rsidRPr="00274B09">
              <w:rPr>
                <w:rFonts w:ascii="Arial" w:eastAsia="Calibri" w:hAnsi="Arial"/>
                <w:color w:val="595959"/>
                <w:sz w:val="20"/>
                <w:szCs w:val="20"/>
              </w:rPr>
              <w:t>prices</w:t>
            </w:r>
            <w:r w:rsidR="002C7E7F">
              <w:rPr>
                <w:rFonts w:ascii="Arial" w:eastAsia="Calibri" w:hAnsi="Arial"/>
                <w:color w:val="595959"/>
                <w:sz w:val="20"/>
                <w:szCs w:val="20"/>
              </w:rPr>
              <w:t>…</w:t>
            </w:r>
            <w:r w:rsidR="00667D25">
              <w:rPr>
                <w:rFonts w:ascii="Arial" w:eastAsia="Calibri" w:hAnsi="Arial"/>
                <w:color w:val="595959"/>
                <w:sz w:val="20"/>
                <w:szCs w:val="20"/>
              </w:rPr>
              <w:t>..16</w:t>
            </w:r>
          </w:p>
        </w:tc>
      </w:tr>
      <w:tr w:rsidR="00B1588C" w:rsidRPr="000432F2" w14:paraId="31A266FD" w14:textId="77777777" w:rsidTr="00B1588C">
        <w:trPr>
          <w:trHeight w:val="544"/>
          <w:jc w:val="center"/>
        </w:trPr>
        <w:tc>
          <w:tcPr>
            <w:tcW w:w="8698" w:type="dxa"/>
            <w:shd w:val="clear" w:color="auto" w:fill="auto"/>
          </w:tcPr>
          <w:p w14:paraId="4E627153" w14:textId="371EC0A7" w:rsidR="00B1588C" w:rsidRPr="000432F2" w:rsidRDefault="00B1588C" w:rsidP="002C7E7F">
            <w:pPr>
              <w:autoSpaceDE w:val="0"/>
              <w:autoSpaceDN w:val="0"/>
              <w:adjustRightInd w:val="0"/>
              <w:spacing w:line="360" w:lineRule="auto"/>
              <w:ind w:right="22"/>
              <w:jc w:val="both"/>
              <w:rPr>
                <w:rFonts w:ascii="Arial" w:eastAsia="Calibri" w:hAnsi="Arial"/>
                <w:color w:val="595959"/>
                <w:sz w:val="20"/>
                <w:szCs w:val="20"/>
              </w:rPr>
            </w:pPr>
            <w:r w:rsidRPr="000432F2">
              <w:rPr>
                <w:rFonts w:ascii="Arial" w:eastAsia="Calibri" w:hAnsi="Arial"/>
                <w:color w:val="595959"/>
                <w:sz w:val="20"/>
                <w:szCs w:val="20"/>
              </w:rPr>
              <w:t xml:space="preserve">Table </w:t>
            </w:r>
            <w:r>
              <w:rPr>
                <w:rFonts w:ascii="Arial" w:eastAsia="Calibri" w:hAnsi="Arial"/>
                <w:color w:val="595959"/>
                <w:sz w:val="20"/>
                <w:szCs w:val="20"/>
              </w:rPr>
              <w:t>4</w:t>
            </w:r>
            <w:r w:rsidRPr="000432F2">
              <w:rPr>
                <w:rFonts w:ascii="Arial" w:eastAsia="Calibri" w:hAnsi="Arial"/>
                <w:color w:val="595959"/>
                <w:sz w:val="20"/>
                <w:szCs w:val="20"/>
              </w:rPr>
              <w:t xml:space="preserve">: </w:t>
            </w:r>
            <w:r w:rsidR="00274B09" w:rsidRPr="00274B09">
              <w:rPr>
                <w:rFonts w:ascii="Arial" w:eastAsia="Calibri" w:hAnsi="Arial"/>
                <w:color w:val="595959"/>
                <w:sz w:val="20"/>
                <w:szCs w:val="20"/>
              </w:rPr>
              <w:t xml:space="preserve">Percentage change in Oil and Non-oil Gross Domestic Product at current and constant prices </w:t>
            </w:r>
            <w:r w:rsidR="00831E4A">
              <w:rPr>
                <w:rFonts w:ascii="Arial" w:eastAsia="Calibri" w:hAnsi="Arial"/>
                <w:color w:val="595959"/>
                <w:sz w:val="20"/>
                <w:szCs w:val="20"/>
              </w:rPr>
              <w:t>.</w:t>
            </w:r>
            <w:r w:rsidR="0024055E">
              <w:rPr>
                <w:rFonts w:ascii="Arial" w:eastAsia="Calibri" w:hAnsi="Arial"/>
                <w:color w:val="595959"/>
                <w:sz w:val="20"/>
                <w:szCs w:val="20"/>
              </w:rPr>
              <w:t>…</w:t>
            </w:r>
            <w:r w:rsidRPr="000432F2">
              <w:rPr>
                <w:rFonts w:ascii="Arial" w:eastAsia="Calibri" w:hAnsi="Arial"/>
                <w:color w:val="595959"/>
                <w:sz w:val="20"/>
                <w:szCs w:val="20"/>
              </w:rPr>
              <w:t>1</w:t>
            </w:r>
            <w:r>
              <w:rPr>
                <w:rFonts w:ascii="Arial" w:eastAsia="Calibri" w:hAnsi="Arial"/>
                <w:color w:val="595959"/>
                <w:sz w:val="20"/>
                <w:szCs w:val="20"/>
              </w:rPr>
              <w:t>6</w:t>
            </w:r>
          </w:p>
        </w:tc>
      </w:tr>
      <w:tr w:rsidR="00B1588C" w:rsidRPr="000432F2" w14:paraId="7DC11FE4" w14:textId="77777777" w:rsidTr="00B1588C">
        <w:trPr>
          <w:trHeight w:val="424"/>
          <w:jc w:val="center"/>
        </w:trPr>
        <w:tc>
          <w:tcPr>
            <w:tcW w:w="8698" w:type="dxa"/>
            <w:shd w:val="clear" w:color="auto" w:fill="auto"/>
          </w:tcPr>
          <w:p w14:paraId="3E55D45F" w14:textId="14B9598F" w:rsidR="00B1588C" w:rsidRPr="000432F2" w:rsidRDefault="00B1588C" w:rsidP="00D614DE">
            <w:pPr>
              <w:autoSpaceDE w:val="0"/>
              <w:autoSpaceDN w:val="0"/>
              <w:adjustRightInd w:val="0"/>
              <w:spacing w:line="360" w:lineRule="auto"/>
              <w:ind w:right="22"/>
              <w:jc w:val="both"/>
              <w:rPr>
                <w:rFonts w:ascii="Arial" w:eastAsia="Calibri" w:hAnsi="Arial"/>
                <w:color w:val="595959"/>
                <w:sz w:val="20"/>
                <w:szCs w:val="20"/>
              </w:rPr>
            </w:pPr>
            <w:r w:rsidRPr="000432F2">
              <w:rPr>
                <w:rFonts w:ascii="Arial" w:eastAsia="Calibri" w:hAnsi="Arial"/>
                <w:color w:val="595959"/>
                <w:sz w:val="20"/>
                <w:szCs w:val="20"/>
              </w:rPr>
              <w:t xml:space="preserve">Table </w:t>
            </w:r>
            <w:r>
              <w:rPr>
                <w:rFonts w:ascii="Arial" w:eastAsia="Calibri" w:hAnsi="Arial"/>
                <w:color w:val="595959"/>
                <w:sz w:val="20"/>
                <w:szCs w:val="20"/>
              </w:rPr>
              <w:t>5</w:t>
            </w:r>
            <w:r w:rsidRPr="000432F2">
              <w:rPr>
                <w:rFonts w:ascii="Arial" w:eastAsia="Calibri" w:hAnsi="Arial"/>
                <w:color w:val="595959"/>
                <w:sz w:val="20"/>
                <w:szCs w:val="20"/>
              </w:rPr>
              <w:t xml:space="preserve">: </w:t>
            </w:r>
            <w:r w:rsidR="00274B09" w:rsidRPr="00274B09">
              <w:rPr>
                <w:rFonts w:ascii="Arial" w:eastAsia="Calibri" w:hAnsi="Arial"/>
                <w:color w:val="595959"/>
                <w:sz w:val="20"/>
                <w:szCs w:val="20"/>
              </w:rPr>
              <w:t xml:space="preserve">Gross Domestic Product by sectors at current prices </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sidR="00274B09">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….1</w:t>
            </w:r>
            <w:r>
              <w:rPr>
                <w:rFonts w:ascii="Arial" w:eastAsia="Calibri" w:hAnsi="Arial"/>
                <w:color w:val="595959"/>
                <w:sz w:val="20"/>
                <w:szCs w:val="20"/>
              </w:rPr>
              <w:t>6</w:t>
            </w:r>
          </w:p>
        </w:tc>
      </w:tr>
      <w:tr w:rsidR="00B1588C" w:rsidRPr="000432F2" w14:paraId="6E674B72" w14:textId="77777777" w:rsidTr="00B1588C">
        <w:trPr>
          <w:trHeight w:val="502"/>
          <w:jc w:val="center"/>
        </w:trPr>
        <w:tc>
          <w:tcPr>
            <w:tcW w:w="8698" w:type="dxa"/>
            <w:shd w:val="clear" w:color="auto" w:fill="auto"/>
          </w:tcPr>
          <w:p w14:paraId="74F176CB" w14:textId="1A148F99" w:rsidR="00B1588C" w:rsidRPr="000432F2" w:rsidRDefault="00B1588C" w:rsidP="004B4B68">
            <w:pPr>
              <w:autoSpaceDE w:val="0"/>
              <w:autoSpaceDN w:val="0"/>
              <w:adjustRightInd w:val="0"/>
              <w:spacing w:line="360" w:lineRule="auto"/>
              <w:ind w:right="22"/>
              <w:jc w:val="both"/>
              <w:rPr>
                <w:rFonts w:ascii="Arial" w:eastAsia="Calibri" w:hAnsi="Arial"/>
                <w:color w:val="595959"/>
                <w:sz w:val="20"/>
                <w:szCs w:val="20"/>
              </w:rPr>
            </w:pPr>
            <w:r w:rsidRPr="000432F2">
              <w:rPr>
                <w:rFonts w:ascii="Arial" w:eastAsia="Calibri" w:hAnsi="Arial"/>
                <w:color w:val="595959"/>
                <w:sz w:val="20"/>
                <w:szCs w:val="20"/>
              </w:rPr>
              <w:t xml:space="preserve">Table </w:t>
            </w:r>
            <w:r>
              <w:rPr>
                <w:rFonts w:ascii="Arial" w:eastAsia="Calibri" w:hAnsi="Arial"/>
                <w:color w:val="595959"/>
                <w:sz w:val="20"/>
                <w:szCs w:val="20"/>
              </w:rPr>
              <w:t>6</w:t>
            </w:r>
            <w:r w:rsidRPr="000432F2">
              <w:rPr>
                <w:rFonts w:ascii="Arial" w:eastAsia="Calibri" w:hAnsi="Arial"/>
                <w:color w:val="595959"/>
                <w:sz w:val="20"/>
                <w:szCs w:val="20"/>
              </w:rPr>
              <w:t>:</w:t>
            </w:r>
            <w:r w:rsidR="00667D25">
              <w:rPr>
                <w:rFonts w:ascii="Arial" w:eastAsia="Calibri" w:hAnsi="Arial"/>
                <w:color w:val="595959"/>
                <w:sz w:val="20"/>
                <w:szCs w:val="20"/>
              </w:rPr>
              <w:t xml:space="preserve"> </w:t>
            </w:r>
            <w:r w:rsidR="00274B09" w:rsidRPr="00274B09">
              <w:rPr>
                <w:rFonts w:ascii="Arial" w:eastAsia="Calibri" w:hAnsi="Arial"/>
                <w:color w:val="595959"/>
                <w:sz w:val="20"/>
                <w:szCs w:val="20"/>
              </w:rPr>
              <w:t xml:space="preserve">Gross Domestic Product by sectors at constant 2007 prices </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..1</w:t>
            </w:r>
            <w:r>
              <w:rPr>
                <w:rFonts w:ascii="Arial" w:eastAsia="Calibri" w:hAnsi="Arial"/>
                <w:color w:val="595959"/>
                <w:sz w:val="20"/>
                <w:szCs w:val="20"/>
              </w:rPr>
              <w:t>7</w:t>
            </w:r>
          </w:p>
        </w:tc>
      </w:tr>
      <w:tr w:rsidR="00B1588C" w:rsidRPr="000432F2" w14:paraId="4F56296D" w14:textId="77777777" w:rsidTr="00B1588C">
        <w:trPr>
          <w:trHeight w:val="410"/>
          <w:jc w:val="center"/>
        </w:trPr>
        <w:tc>
          <w:tcPr>
            <w:tcW w:w="8698" w:type="dxa"/>
            <w:shd w:val="clear" w:color="auto" w:fill="auto"/>
          </w:tcPr>
          <w:p w14:paraId="0BC63E71" w14:textId="0354DABD" w:rsidR="00B1588C" w:rsidRPr="000432F2" w:rsidRDefault="00B1588C" w:rsidP="002C7E7F">
            <w:pPr>
              <w:autoSpaceDE w:val="0"/>
              <w:autoSpaceDN w:val="0"/>
              <w:adjustRightInd w:val="0"/>
              <w:spacing w:line="360" w:lineRule="auto"/>
              <w:ind w:right="22"/>
              <w:jc w:val="both"/>
              <w:rPr>
                <w:rFonts w:ascii="Arial" w:eastAsia="Calibri" w:hAnsi="Arial"/>
                <w:color w:val="595959"/>
                <w:sz w:val="20"/>
                <w:szCs w:val="20"/>
              </w:rPr>
            </w:pPr>
            <w:r w:rsidRPr="000432F2">
              <w:rPr>
                <w:rFonts w:ascii="Arial" w:eastAsia="Calibri" w:hAnsi="Arial"/>
                <w:color w:val="595959"/>
                <w:sz w:val="20"/>
                <w:szCs w:val="20"/>
              </w:rPr>
              <w:t xml:space="preserve">Table </w:t>
            </w:r>
            <w:r>
              <w:rPr>
                <w:rFonts w:ascii="Arial" w:eastAsia="Calibri" w:hAnsi="Arial"/>
                <w:color w:val="595959"/>
                <w:sz w:val="20"/>
                <w:szCs w:val="20"/>
              </w:rPr>
              <w:t>7</w:t>
            </w:r>
            <w:r w:rsidR="005B6A45">
              <w:rPr>
                <w:rFonts w:ascii="Arial" w:eastAsia="Calibri" w:hAnsi="Arial"/>
                <w:color w:val="595959"/>
                <w:sz w:val="20"/>
                <w:szCs w:val="20"/>
              </w:rPr>
              <w:t>:</w:t>
            </w:r>
            <w:r w:rsidRPr="000432F2">
              <w:rPr>
                <w:rFonts w:ascii="Arial" w:eastAsia="Calibri" w:hAnsi="Arial"/>
                <w:color w:val="595959"/>
                <w:sz w:val="20"/>
                <w:szCs w:val="20"/>
              </w:rPr>
              <w:t xml:space="preserve"> </w:t>
            </w:r>
            <w:r w:rsidR="00274B09" w:rsidRPr="00274B09">
              <w:rPr>
                <w:rFonts w:ascii="Arial" w:eastAsia="Calibri" w:hAnsi="Arial"/>
                <w:color w:val="595959"/>
                <w:sz w:val="20"/>
                <w:szCs w:val="20"/>
              </w:rPr>
              <w:t xml:space="preserve">Percentage change in Gross Domestic Product by sectors at current prices </w:t>
            </w:r>
            <w:r w:rsidRPr="000432F2">
              <w:rPr>
                <w:rFonts w:ascii="Arial" w:eastAsia="Calibri" w:hAnsi="Arial"/>
                <w:color w:val="595959"/>
                <w:sz w:val="20"/>
                <w:szCs w:val="20"/>
              </w:rPr>
              <w:t>……</w:t>
            </w:r>
            <w:r w:rsidR="00274B09">
              <w:rPr>
                <w:rFonts w:ascii="Arial" w:eastAsia="Calibri" w:hAnsi="Arial"/>
                <w:color w:val="595959"/>
                <w:sz w:val="20"/>
                <w:szCs w:val="20"/>
              </w:rPr>
              <w:t>……</w:t>
            </w:r>
            <w:r w:rsidR="002C7E7F">
              <w:rPr>
                <w:rFonts w:ascii="Arial" w:eastAsia="Calibri" w:hAnsi="Arial"/>
                <w:color w:val="595959"/>
                <w:sz w:val="20"/>
                <w:szCs w:val="20"/>
              </w:rPr>
              <w:t>………</w:t>
            </w:r>
            <w:r w:rsidR="00274B09">
              <w:rPr>
                <w:rFonts w:ascii="Arial" w:eastAsia="Calibri" w:hAnsi="Arial"/>
                <w:color w:val="595959"/>
                <w:sz w:val="20"/>
                <w:szCs w:val="20"/>
              </w:rPr>
              <w:t>…</w:t>
            </w:r>
            <w:r w:rsidRPr="000432F2">
              <w:rPr>
                <w:rFonts w:ascii="Arial" w:eastAsia="Calibri" w:hAnsi="Arial"/>
                <w:color w:val="595959"/>
                <w:sz w:val="20"/>
                <w:szCs w:val="20"/>
              </w:rPr>
              <w:t>….1</w:t>
            </w:r>
            <w:r>
              <w:rPr>
                <w:rFonts w:ascii="Arial" w:eastAsia="Calibri" w:hAnsi="Arial"/>
                <w:color w:val="595959"/>
                <w:sz w:val="20"/>
                <w:szCs w:val="20"/>
              </w:rPr>
              <w:t>7</w:t>
            </w:r>
          </w:p>
        </w:tc>
      </w:tr>
      <w:tr w:rsidR="00B1588C" w:rsidRPr="000432F2" w14:paraId="155E40AC" w14:textId="77777777" w:rsidTr="00C46A01">
        <w:trPr>
          <w:trHeight w:val="523"/>
          <w:jc w:val="center"/>
        </w:trPr>
        <w:tc>
          <w:tcPr>
            <w:tcW w:w="8698" w:type="dxa"/>
            <w:shd w:val="clear" w:color="auto" w:fill="auto"/>
          </w:tcPr>
          <w:p w14:paraId="476C008F" w14:textId="01747891" w:rsidR="00B1588C" w:rsidRPr="000432F2" w:rsidRDefault="00B1588C" w:rsidP="002C7E7F">
            <w:pPr>
              <w:autoSpaceDE w:val="0"/>
              <w:autoSpaceDN w:val="0"/>
              <w:adjustRightInd w:val="0"/>
              <w:spacing w:line="360" w:lineRule="auto"/>
              <w:ind w:right="-738"/>
              <w:jc w:val="both"/>
              <w:rPr>
                <w:rFonts w:ascii="Arial" w:eastAsia="Calibri" w:hAnsi="Arial"/>
                <w:color w:val="595959"/>
                <w:sz w:val="20"/>
                <w:szCs w:val="20"/>
              </w:rPr>
            </w:pPr>
            <w:r w:rsidRPr="000432F2">
              <w:rPr>
                <w:rFonts w:ascii="Arial" w:eastAsia="Calibri" w:hAnsi="Arial"/>
                <w:color w:val="595959"/>
                <w:sz w:val="20"/>
                <w:szCs w:val="20"/>
              </w:rPr>
              <w:t xml:space="preserve">Table </w:t>
            </w:r>
            <w:r>
              <w:rPr>
                <w:rFonts w:ascii="Arial" w:eastAsia="Calibri" w:hAnsi="Arial"/>
                <w:color w:val="595959"/>
                <w:sz w:val="20"/>
                <w:szCs w:val="20"/>
              </w:rPr>
              <w:t>8</w:t>
            </w:r>
            <w:r w:rsidRPr="000432F2">
              <w:rPr>
                <w:rFonts w:ascii="Arial" w:eastAsia="Calibri" w:hAnsi="Arial"/>
                <w:color w:val="595959"/>
                <w:sz w:val="20"/>
                <w:szCs w:val="20"/>
              </w:rPr>
              <w:t>:</w:t>
            </w:r>
            <w:r w:rsidR="005B6A45">
              <w:rPr>
                <w:rFonts w:ascii="Arial" w:eastAsia="Calibri" w:hAnsi="Arial"/>
                <w:color w:val="595959"/>
                <w:sz w:val="20"/>
                <w:szCs w:val="20"/>
              </w:rPr>
              <w:t xml:space="preserve"> </w:t>
            </w:r>
            <w:r w:rsidR="00274B09" w:rsidRPr="00274B09">
              <w:rPr>
                <w:rFonts w:ascii="Arial" w:eastAsia="Calibri" w:hAnsi="Arial"/>
                <w:color w:val="595959"/>
                <w:sz w:val="20"/>
                <w:szCs w:val="20"/>
              </w:rPr>
              <w:t xml:space="preserve">Percentage change in Gross Domestic Product by sectors at current </w:t>
            </w:r>
            <w:r w:rsidR="002C7E7F" w:rsidRPr="00274B09">
              <w:rPr>
                <w:rFonts w:ascii="Arial" w:eastAsia="Calibri" w:hAnsi="Arial"/>
                <w:color w:val="595959"/>
                <w:sz w:val="20"/>
                <w:szCs w:val="20"/>
              </w:rPr>
              <w:t>prices</w:t>
            </w:r>
            <w:r w:rsidR="002C7E7F">
              <w:rPr>
                <w:rFonts w:ascii="Arial" w:eastAsia="Calibri" w:hAnsi="Arial"/>
                <w:color w:val="595959"/>
                <w:sz w:val="20"/>
                <w:szCs w:val="20"/>
              </w:rPr>
              <w:t>..</w:t>
            </w:r>
            <w:r w:rsidR="002C7E7F" w:rsidRPr="00274B09">
              <w:rPr>
                <w:rFonts w:ascii="Arial" w:eastAsia="Calibri" w:hAnsi="Arial"/>
                <w:color w:val="595959"/>
                <w:sz w:val="20"/>
                <w:szCs w:val="20"/>
              </w:rPr>
              <w:t>.</w:t>
            </w:r>
            <w:r w:rsidR="00667D25">
              <w:rPr>
                <w:rFonts w:ascii="Arial" w:eastAsia="Calibri" w:hAnsi="Arial"/>
                <w:color w:val="595959"/>
                <w:sz w:val="20"/>
                <w:szCs w:val="20"/>
              </w:rPr>
              <w:t>……</w:t>
            </w:r>
            <w:r w:rsidR="002C7E7F">
              <w:rPr>
                <w:rFonts w:ascii="Arial" w:eastAsia="Calibri" w:hAnsi="Arial"/>
                <w:color w:val="595959"/>
                <w:sz w:val="20"/>
                <w:szCs w:val="20"/>
              </w:rPr>
              <w:t>……………</w:t>
            </w:r>
            <w:r w:rsidR="00630FC9">
              <w:rPr>
                <w:rFonts w:ascii="Arial" w:eastAsia="Calibri" w:hAnsi="Arial"/>
                <w:color w:val="595959"/>
                <w:sz w:val="20"/>
                <w:szCs w:val="20"/>
              </w:rPr>
              <w:t>..</w:t>
            </w:r>
            <w:r w:rsidR="00667D25">
              <w:rPr>
                <w:rFonts w:ascii="Arial" w:eastAsia="Calibri" w:hAnsi="Arial"/>
                <w:color w:val="595959"/>
                <w:sz w:val="20"/>
                <w:szCs w:val="20"/>
              </w:rPr>
              <w:t>…17</w:t>
            </w:r>
          </w:p>
        </w:tc>
      </w:tr>
      <w:tr w:rsidR="00B1588C" w:rsidRPr="000432F2" w14:paraId="4D6FC0DD" w14:textId="77777777" w:rsidTr="00B1588C">
        <w:trPr>
          <w:trHeight w:val="412"/>
          <w:jc w:val="center"/>
        </w:trPr>
        <w:tc>
          <w:tcPr>
            <w:tcW w:w="8698" w:type="dxa"/>
            <w:shd w:val="clear" w:color="auto" w:fill="auto"/>
          </w:tcPr>
          <w:p w14:paraId="5BE3CE57" w14:textId="3114456E" w:rsidR="00B1588C" w:rsidRPr="000432F2" w:rsidRDefault="00B1588C" w:rsidP="00D614DE">
            <w:pPr>
              <w:autoSpaceDE w:val="0"/>
              <w:autoSpaceDN w:val="0"/>
              <w:adjustRightInd w:val="0"/>
              <w:spacing w:line="360" w:lineRule="auto"/>
              <w:ind w:right="22"/>
              <w:jc w:val="both"/>
              <w:rPr>
                <w:rFonts w:ascii="Arial" w:eastAsia="Calibri" w:hAnsi="Arial"/>
                <w:color w:val="595959"/>
                <w:sz w:val="20"/>
                <w:szCs w:val="20"/>
              </w:rPr>
            </w:pPr>
            <w:r w:rsidRPr="000432F2">
              <w:rPr>
                <w:rFonts w:ascii="Arial" w:eastAsia="Calibri" w:hAnsi="Arial"/>
                <w:color w:val="595959"/>
                <w:sz w:val="20"/>
                <w:szCs w:val="20"/>
              </w:rPr>
              <w:t xml:space="preserve">Table </w:t>
            </w:r>
            <w:r>
              <w:rPr>
                <w:rFonts w:ascii="Arial" w:eastAsia="Calibri" w:hAnsi="Arial"/>
                <w:color w:val="595959"/>
                <w:sz w:val="20"/>
                <w:szCs w:val="20"/>
              </w:rPr>
              <w:t>9</w:t>
            </w:r>
            <w:r w:rsidRPr="000432F2">
              <w:rPr>
                <w:rFonts w:ascii="Arial" w:eastAsia="Calibri" w:hAnsi="Arial"/>
                <w:color w:val="595959"/>
                <w:sz w:val="20"/>
                <w:szCs w:val="20"/>
              </w:rPr>
              <w:t xml:space="preserve">: </w:t>
            </w:r>
            <w:r w:rsidR="00360AC1" w:rsidRPr="00360AC1">
              <w:rPr>
                <w:rFonts w:ascii="Arial" w:eastAsia="Calibri" w:hAnsi="Arial"/>
                <w:color w:val="595959"/>
                <w:sz w:val="20"/>
                <w:szCs w:val="20"/>
              </w:rPr>
              <w:t xml:space="preserve">Percentage contribution to Gross Domestic Product by sectors at current prices </w:t>
            </w:r>
            <w:r>
              <w:rPr>
                <w:rFonts w:ascii="Arial" w:eastAsia="Calibri" w:hAnsi="Arial"/>
                <w:color w:val="595959"/>
                <w:sz w:val="20"/>
                <w:szCs w:val="20"/>
              </w:rPr>
              <w:t>………</w:t>
            </w:r>
            <w:r w:rsidR="004B4B68">
              <w:rPr>
                <w:rFonts w:ascii="Arial" w:eastAsia="Calibri" w:hAnsi="Arial"/>
                <w:color w:val="595959"/>
                <w:sz w:val="20"/>
                <w:szCs w:val="20"/>
              </w:rPr>
              <w:t>.</w:t>
            </w:r>
            <w:r w:rsidR="00360AC1">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..1</w:t>
            </w:r>
            <w:r>
              <w:rPr>
                <w:rFonts w:ascii="Arial" w:eastAsia="Calibri" w:hAnsi="Arial"/>
                <w:color w:val="595959"/>
                <w:sz w:val="20"/>
                <w:szCs w:val="20"/>
              </w:rPr>
              <w:t>8</w:t>
            </w:r>
          </w:p>
        </w:tc>
      </w:tr>
      <w:tr w:rsidR="00B1588C" w:rsidRPr="000432F2" w14:paraId="19B5EEE7" w14:textId="77777777" w:rsidTr="00C46A01">
        <w:trPr>
          <w:trHeight w:val="523"/>
          <w:jc w:val="center"/>
        </w:trPr>
        <w:tc>
          <w:tcPr>
            <w:tcW w:w="8698" w:type="dxa"/>
            <w:shd w:val="clear" w:color="auto" w:fill="auto"/>
          </w:tcPr>
          <w:p w14:paraId="59BF448E" w14:textId="3B75DFFD" w:rsidR="00B1588C" w:rsidRPr="000432F2" w:rsidRDefault="00B1588C" w:rsidP="002C7E7F">
            <w:pPr>
              <w:autoSpaceDE w:val="0"/>
              <w:autoSpaceDN w:val="0"/>
              <w:adjustRightInd w:val="0"/>
              <w:spacing w:line="360" w:lineRule="auto"/>
              <w:ind w:right="-738"/>
              <w:jc w:val="both"/>
              <w:rPr>
                <w:rFonts w:ascii="Arial" w:eastAsia="Calibri" w:hAnsi="Arial"/>
                <w:color w:val="595959"/>
                <w:sz w:val="20"/>
                <w:szCs w:val="20"/>
              </w:rPr>
            </w:pPr>
            <w:r w:rsidRPr="000432F2">
              <w:rPr>
                <w:rFonts w:ascii="Arial" w:eastAsia="Calibri" w:hAnsi="Arial"/>
                <w:color w:val="595959"/>
                <w:sz w:val="20"/>
                <w:szCs w:val="20"/>
              </w:rPr>
              <w:t>Table 1</w:t>
            </w:r>
            <w:r>
              <w:rPr>
                <w:rFonts w:ascii="Arial" w:eastAsia="Calibri" w:hAnsi="Arial"/>
                <w:color w:val="595959"/>
                <w:sz w:val="20"/>
                <w:szCs w:val="20"/>
              </w:rPr>
              <w:t>0</w:t>
            </w:r>
            <w:r w:rsidRPr="000432F2">
              <w:rPr>
                <w:rFonts w:ascii="Arial" w:eastAsia="Calibri" w:hAnsi="Arial"/>
                <w:color w:val="595959"/>
                <w:sz w:val="20"/>
                <w:szCs w:val="20"/>
              </w:rPr>
              <w:t>:</w:t>
            </w:r>
            <w:r w:rsidR="005B6A45">
              <w:rPr>
                <w:rFonts w:ascii="Arial" w:eastAsia="Calibri" w:hAnsi="Arial"/>
                <w:color w:val="595959"/>
                <w:sz w:val="20"/>
                <w:szCs w:val="20"/>
              </w:rPr>
              <w:t xml:space="preserve"> </w:t>
            </w:r>
            <w:r w:rsidR="00360AC1" w:rsidRPr="00360AC1">
              <w:rPr>
                <w:rFonts w:ascii="Arial" w:eastAsia="Calibri" w:hAnsi="Arial"/>
                <w:color w:val="595959"/>
                <w:sz w:val="20"/>
                <w:szCs w:val="20"/>
              </w:rPr>
              <w:t xml:space="preserve">Percentage change in Gross Domestic Product by sectors at constant 2007 prices </w:t>
            </w:r>
            <w:r w:rsidR="00135080">
              <w:rPr>
                <w:rFonts w:ascii="Arial" w:eastAsia="Calibri" w:hAnsi="Arial"/>
                <w:color w:val="595959"/>
                <w:sz w:val="20"/>
                <w:szCs w:val="20"/>
              </w:rPr>
              <w:t>…</w:t>
            </w:r>
            <w:r w:rsidR="002C7E7F">
              <w:rPr>
                <w:rFonts w:ascii="Arial" w:eastAsia="Calibri" w:hAnsi="Arial"/>
                <w:color w:val="595959"/>
                <w:sz w:val="20"/>
                <w:szCs w:val="20"/>
              </w:rPr>
              <w:t>…………</w:t>
            </w:r>
            <w:r w:rsidR="00667D25">
              <w:rPr>
                <w:rFonts w:ascii="Arial" w:eastAsia="Calibri" w:hAnsi="Arial"/>
                <w:color w:val="595959"/>
                <w:sz w:val="20"/>
                <w:szCs w:val="20"/>
              </w:rPr>
              <w:t>..18</w:t>
            </w:r>
            <w:r w:rsidR="00F536DE" w:rsidRPr="000432F2" w:rsidDel="00F536DE">
              <w:rPr>
                <w:rFonts w:ascii="Arial" w:eastAsia="Calibri" w:hAnsi="Arial"/>
                <w:color w:val="595959"/>
                <w:sz w:val="20"/>
                <w:szCs w:val="20"/>
              </w:rPr>
              <w:t xml:space="preserve"> </w:t>
            </w:r>
          </w:p>
        </w:tc>
      </w:tr>
      <w:tr w:rsidR="00B1588C" w:rsidRPr="000432F2" w14:paraId="17023B49" w14:textId="77777777" w:rsidTr="00B1588C">
        <w:trPr>
          <w:trHeight w:val="556"/>
          <w:jc w:val="center"/>
        </w:trPr>
        <w:tc>
          <w:tcPr>
            <w:tcW w:w="8698" w:type="dxa"/>
            <w:shd w:val="clear" w:color="auto" w:fill="auto"/>
          </w:tcPr>
          <w:p w14:paraId="42D18929" w14:textId="2091B2AC" w:rsidR="00B1588C" w:rsidRDefault="00B1588C" w:rsidP="002C7E7F">
            <w:pPr>
              <w:tabs>
                <w:tab w:val="right" w:pos="9537"/>
              </w:tabs>
              <w:autoSpaceDE w:val="0"/>
              <w:autoSpaceDN w:val="0"/>
              <w:adjustRightInd w:val="0"/>
              <w:spacing w:line="360" w:lineRule="auto"/>
              <w:ind w:right="-738"/>
              <w:jc w:val="both"/>
              <w:rPr>
                <w:rFonts w:ascii="Arial" w:eastAsia="Calibri" w:hAnsi="Arial"/>
                <w:color w:val="595959"/>
                <w:sz w:val="20"/>
                <w:szCs w:val="20"/>
              </w:rPr>
            </w:pPr>
            <w:r w:rsidRPr="000432F2">
              <w:rPr>
                <w:rFonts w:ascii="Arial" w:eastAsia="Calibri" w:hAnsi="Arial"/>
                <w:color w:val="595959"/>
                <w:sz w:val="20"/>
                <w:szCs w:val="20"/>
              </w:rPr>
              <w:t>Table 1</w:t>
            </w:r>
            <w:r>
              <w:rPr>
                <w:rFonts w:ascii="Arial" w:eastAsia="Calibri" w:hAnsi="Arial"/>
                <w:color w:val="595959"/>
                <w:sz w:val="20"/>
                <w:szCs w:val="20"/>
              </w:rPr>
              <w:t>1</w:t>
            </w:r>
            <w:r w:rsidRPr="000432F2">
              <w:rPr>
                <w:rFonts w:ascii="Arial" w:eastAsia="Calibri" w:hAnsi="Arial"/>
                <w:color w:val="595959"/>
                <w:sz w:val="20"/>
                <w:szCs w:val="20"/>
              </w:rPr>
              <w:t xml:space="preserve">: </w:t>
            </w:r>
            <w:r w:rsidR="00360AC1" w:rsidRPr="00360AC1">
              <w:rPr>
                <w:rFonts w:ascii="Arial" w:eastAsia="Calibri" w:hAnsi="Arial"/>
                <w:color w:val="595959"/>
                <w:sz w:val="20"/>
                <w:szCs w:val="20"/>
              </w:rPr>
              <w:t xml:space="preserve">Percentage change in Gross Domestic Product by sectors at constant 2007 prices </w:t>
            </w:r>
            <w:r w:rsidR="002C7E7F">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18</w:t>
            </w:r>
            <w:r w:rsidRPr="000432F2">
              <w:rPr>
                <w:rFonts w:ascii="Arial" w:eastAsia="Calibri" w:hAnsi="Arial"/>
                <w:color w:val="595959"/>
                <w:sz w:val="20"/>
                <w:szCs w:val="20"/>
              </w:rPr>
              <w:t xml:space="preserve">                                     </w:t>
            </w:r>
          </w:p>
          <w:p w14:paraId="739ADC4C" w14:textId="31D19186" w:rsidR="00360AC1" w:rsidRPr="000432F2" w:rsidRDefault="00360AC1" w:rsidP="00360AC1">
            <w:pPr>
              <w:tabs>
                <w:tab w:val="right" w:pos="9537"/>
              </w:tabs>
              <w:autoSpaceDE w:val="0"/>
              <w:autoSpaceDN w:val="0"/>
              <w:adjustRightInd w:val="0"/>
              <w:spacing w:line="360" w:lineRule="auto"/>
              <w:ind w:right="-738"/>
              <w:jc w:val="both"/>
              <w:rPr>
                <w:rFonts w:ascii="Arial" w:eastAsia="Calibri" w:hAnsi="Arial"/>
                <w:color w:val="595959"/>
                <w:sz w:val="20"/>
                <w:szCs w:val="20"/>
              </w:rPr>
            </w:pPr>
            <w:r w:rsidRPr="00360AC1">
              <w:rPr>
                <w:rFonts w:ascii="Arial" w:eastAsia="Calibri" w:hAnsi="Arial"/>
                <w:color w:val="595959"/>
                <w:sz w:val="20"/>
                <w:szCs w:val="20"/>
              </w:rPr>
              <w:t>Table 1</w:t>
            </w:r>
            <w:r>
              <w:rPr>
                <w:rFonts w:ascii="Arial" w:eastAsia="Calibri" w:hAnsi="Arial"/>
                <w:color w:val="595959"/>
                <w:sz w:val="20"/>
                <w:szCs w:val="20"/>
              </w:rPr>
              <w:t>2</w:t>
            </w:r>
            <w:r w:rsidRPr="00360AC1">
              <w:rPr>
                <w:rFonts w:ascii="Arial" w:eastAsia="Calibri" w:hAnsi="Arial"/>
                <w:color w:val="595959"/>
                <w:sz w:val="20"/>
                <w:szCs w:val="20"/>
              </w:rPr>
              <w:t xml:space="preserve">: Percentage contribution to Gross Domestic Product by sectors at constant 2007 prices </w:t>
            </w:r>
            <w:r>
              <w:rPr>
                <w:rFonts w:ascii="Arial" w:eastAsia="Calibri" w:hAnsi="Arial"/>
                <w:color w:val="595959"/>
                <w:sz w:val="20"/>
                <w:szCs w:val="20"/>
              </w:rPr>
              <w:t>…</w:t>
            </w:r>
            <w:r w:rsidRPr="00360AC1">
              <w:rPr>
                <w:rFonts w:ascii="Arial" w:eastAsia="Calibri" w:hAnsi="Arial"/>
                <w:color w:val="595959"/>
                <w:sz w:val="20"/>
                <w:szCs w:val="20"/>
              </w:rPr>
              <w:t>...</w:t>
            </w:r>
            <w:r w:rsidR="00831E4A">
              <w:rPr>
                <w:rFonts w:ascii="Arial" w:eastAsia="Calibri" w:hAnsi="Arial"/>
                <w:color w:val="595959"/>
                <w:sz w:val="20"/>
                <w:szCs w:val="20"/>
              </w:rPr>
              <w:t>.</w:t>
            </w:r>
            <w:r w:rsidRPr="00360AC1">
              <w:rPr>
                <w:rFonts w:ascii="Arial" w:eastAsia="Calibri" w:hAnsi="Arial"/>
                <w:color w:val="595959"/>
                <w:sz w:val="20"/>
                <w:szCs w:val="20"/>
              </w:rPr>
              <w:t>…..1</w:t>
            </w:r>
            <w:r>
              <w:rPr>
                <w:rFonts w:ascii="Arial" w:eastAsia="Calibri" w:hAnsi="Arial"/>
                <w:color w:val="595959"/>
                <w:sz w:val="20"/>
                <w:szCs w:val="20"/>
              </w:rPr>
              <w:t>9</w:t>
            </w:r>
            <w:r w:rsidRPr="00360AC1">
              <w:rPr>
                <w:rFonts w:ascii="Arial" w:eastAsia="Calibri" w:hAnsi="Arial"/>
                <w:color w:val="595959"/>
                <w:sz w:val="20"/>
                <w:szCs w:val="20"/>
              </w:rPr>
              <w:t xml:space="preserve">                                     </w:t>
            </w:r>
          </w:p>
        </w:tc>
      </w:tr>
    </w:tbl>
    <w:p w14:paraId="4BA913BF" w14:textId="77777777" w:rsidR="00C727AA" w:rsidRPr="0059078D" w:rsidRDefault="00C727AA" w:rsidP="0089209C">
      <w:pPr>
        <w:pStyle w:val="EcoHeading1"/>
        <w:rPr>
          <w:rtl/>
        </w:rPr>
      </w:pPr>
    </w:p>
    <w:p w14:paraId="30675104" w14:textId="77777777" w:rsidR="00C727AA" w:rsidRDefault="00C727AA" w:rsidP="00866311">
      <w:pPr>
        <w:pStyle w:val="EcoHeading1"/>
        <w:ind w:left="0"/>
      </w:pPr>
      <w:r>
        <w:br w:type="page"/>
      </w:r>
      <w:r>
        <w:lastRenderedPageBreak/>
        <w:t>List of Figures</w:t>
      </w:r>
    </w:p>
    <w:p w14:paraId="069BDD00" w14:textId="77777777" w:rsidR="00C727AA" w:rsidRDefault="00C727AA" w:rsidP="0089209C">
      <w:pPr>
        <w:pStyle w:val="EcoHeading1"/>
        <w:rPr>
          <w:rtl/>
        </w:rPr>
      </w:pPr>
    </w:p>
    <w:tbl>
      <w:tblPr>
        <w:tblW w:w="9922" w:type="dxa"/>
        <w:jc w:val="center"/>
        <w:tblLayout w:type="fixed"/>
        <w:tblLook w:val="04A0" w:firstRow="1" w:lastRow="0" w:firstColumn="1" w:lastColumn="0" w:noHBand="0" w:noVBand="1"/>
      </w:tblPr>
      <w:tblGrid>
        <w:gridCol w:w="9922"/>
      </w:tblGrid>
      <w:tr w:rsidR="004B4B68" w:rsidRPr="00B2550C" w14:paraId="75A9D392" w14:textId="77777777" w:rsidTr="004B4B68">
        <w:trPr>
          <w:trHeight w:val="461"/>
          <w:jc w:val="center"/>
        </w:trPr>
        <w:tc>
          <w:tcPr>
            <w:tcW w:w="9420" w:type="dxa"/>
            <w:shd w:val="clear" w:color="auto" w:fill="auto"/>
          </w:tcPr>
          <w:p w14:paraId="2479F49C" w14:textId="0C3BD798" w:rsidR="004B4B68" w:rsidRPr="000432F2" w:rsidRDefault="004B4B68" w:rsidP="00831E4A">
            <w:pPr>
              <w:tabs>
                <w:tab w:val="right" w:pos="9682"/>
              </w:tabs>
              <w:autoSpaceDE w:val="0"/>
              <w:autoSpaceDN w:val="0"/>
              <w:adjustRightInd w:val="0"/>
              <w:spacing w:line="360" w:lineRule="auto"/>
              <w:ind w:right="24"/>
              <w:rPr>
                <w:rFonts w:ascii="Arial" w:eastAsia="Calibri" w:hAnsi="Arial"/>
                <w:color w:val="595959"/>
                <w:sz w:val="20"/>
                <w:szCs w:val="20"/>
              </w:rPr>
            </w:pPr>
            <w:r w:rsidRPr="000432F2">
              <w:rPr>
                <w:rFonts w:ascii="Arial" w:eastAsia="Calibri" w:hAnsi="Arial"/>
                <w:color w:val="595959"/>
                <w:sz w:val="20"/>
                <w:szCs w:val="20"/>
              </w:rPr>
              <w:t>Figure 1: Percentage change in Gross Domestic Product at c</w:t>
            </w:r>
            <w:r w:rsidR="008B41C6">
              <w:rPr>
                <w:rFonts w:ascii="Arial" w:eastAsia="Calibri" w:hAnsi="Arial"/>
                <w:color w:val="595959"/>
                <w:sz w:val="20"/>
                <w:szCs w:val="20"/>
              </w:rPr>
              <w:t>urrent and constant 2007 prices</w:t>
            </w:r>
            <w:r w:rsidR="00831E4A">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sidR="00831E4A">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6</w:t>
            </w:r>
            <w:r w:rsidRPr="000432F2">
              <w:rPr>
                <w:rFonts w:ascii="Arial" w:eastAsia="Calibri" w:hAnsi="Arial"/>
                <w:color w:val="595959"/>
                <w:sz w:val="20"/>
                <w:szCs w:val="20"/>
              </w:rPr>
              <w:t xml:space="preserve">                                                                                                                                         </w:t>
            </w:r>
          </w:p>
        </w:tc>
      </w:tr>
      <w:tr w:rsidR="004B4B68" w:rsidRPr="00B2550C" w14:paraId="500F94B1" w14:textId="77777777" w:rsidTr="004B4B68">
        <w:trPr>
          <w:trHeight w:val="461"/>
          <w:jc w:val="center"/>
        </w:trPr>
        <w:tc>
          <w:tcPr>
            <w:tcW w:w="9420" w:type="dxa"/>
            <w:shd w:val="clear" w:color="auto" w:fill="auto"/>
          </w:tcPr>
          <w:p w14:paraId="0F266C26" w14:textId="6ECAA128" w:rsidR="004B4B68" w:rsidRPr="000432F2" w:rsidRDefault="004B4B68" w:rsidP="00831E4A">
            <w:pPr>
              <w:tabs>
                <w:tab w:val="right" w:pos="9687"/>
              </w:tabs>
              <w:autoSpaceDE w:val="0"/>
              <w:autoSpaceDN w:val="0"/>
              <w:adjustRightInd w:val="0"/>
              <w:spacing w:line="360" w:lineRule="auto"/>
              <w:ind w:right="4"/>
              <w:jc w:val="both"/>
              <w:rPr>
                <w:rFonts w:ascii="Arial" w:eastAsia="Calibri" w:hAnsi="Arial"/>
                <w:color w:val="595959"/>
                <w:sz w:val="20"/>
                <w:szCs w:val="20"/>
              </w:rPr>
            </w:pPr>
            <w:r w:rsidRPr="000432F2">
              <w:rPr>
                <w:rFonts w:ascii="Arial" w:eastAsia="Calibri" w:hAnsi="Arial"/>
                <w:color w:val="595959"/>
                <w:sz w:val="20"/>
                <w:szCs w:val="20"/>
              </w:rPr>
              <w:t xml:space="preserve">Figure 2: Percentage change </w:t>
            </w:r>
            <w:r w:rsidR="00D614DE">
              <w:rPr>
                <w:rFonts w:ascii="Arial" w:eastAsia="Calibri" w:hAnsi="Arial"/>
                <w:color w:val="595959"/>
                <w:sz w:val="20"/>
                <w:szCs w:val="20"/>
              </w:rPr>
              <w:t>in</w:t>
            </w:r>
            <w:r w:rsidRPr="000432F2">
              <w:rPr>
                <w:rFonts w:ascii="Arial" w:eastAsia="Calibri" w:hAnsi="Arial"/>
                <w:color w:val="595959"/>
                <w:sz w:val="20"/>
                <w:szCs w:val="20"/>
              </w:rPr>
              <w:t xml:space="preserve"> Gross Domestic Product at current prices ….</w:t>
            </w:r>
            <w:r w:rsidR="00831E4A">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sidR="00831E4A">
              <w:rPr>
                <w:rFonts w:ascii="Arial" w:eastAsia="Calibri" w:hAnsi="Arial"/>
                <w:color w:val="595959"/>
                <w:sz w:val="20"/>
                <w:szCs w:val="20"/>
              </w:rPr>
              <w:t xml:space="preserve"> </w:t>
            </w:r>
            <w:r>
              <w:rPr>
                <w:rFonts w:ascii="Arial" w:eastAsia="Calibri" w:hAnsi="Arial"/>
                <w:color w:val="595959"/>
                <w:sz w:val="20"/>
                <w:szCs w:val="20"/>
              </w:rPr>
              <w:t>7</w:t>
            </w:r>
          </w:p>
        </w:tc>
      </w:tr>
      <w:tr w:rsidR="004B4B68" w:rsidRPr="00B2550C" w14:paraId="1AAED8C7" w14:textId="77777777" w:rsidTr="004B4B68">
        <w:trPr>
          <w:trHeight w:val="461"/>
          <w:jc w:val="center"/>
        </w:trPr>
        <w:tc>
          <w:tcPr>
            <w:tcW w:w="9420" w:type="dxa"/>
            <w:shd w:val="clear" w:color="auto" w:fill="auto"/>
          </w:tcPr>
          <w:p w14:paraId="00C82E8F" w14:textId="2CD7F436" w:rsidR="004B4B68" w:rsidRPr="000432F2" w:rsidRDefault="004B4B68" w:rsidP="00264D0C">
            <w:pPr>
              <w:tabs>
                <w:tab w:val="right" w:pos="9702"/>
              </w:tabs>
              <w:autoSpaceDE w:val="0"/>
              <w:autoSpaceDN w:val="0"/>
              <w:adjustRightInd w:val="0"/>
              <w:spacing w:line="360" w:lineRule="auto"/>
              <w:jc w:val="both"/>
              <w:rPr>
                <w:rFonts w:ascii="Arial" w:eastAsia="Calibri" w:hAnsi="Arial"/>
                <w:color w:val="595959"/>
                <w:sz w:val="20"/>
                <w:szCs w:val="20"/>
              </w:rPr>
            </w:pPr>
            <w:r w:rsidRPr="000432F2">
              <w:rPr>
                <w:rFonts w:ascii="Arial" w:eastAsia="Calibri" w:hAnsi="Arial"/>
                <w:color w:val="595959"/>
                <w:sz w:val="20"/>
                <w:szCs w:val="20"/>
              </w:rPr>
              <w:t xml:space="preserve">Figure 3: Percentage contribution </w:t>
            </w:r>
            <w:r w:rsidR="00D614DE">
              <w:rPr>
                <w:rFonts w:ascii="Arial" w:eastAsia="Calibri" w:hAnsi="Arial"/>
                <w:color w:val="595959"/>
                <w:sz w:val="20"/>
                <w:szCs w:val="20"/>
              </w:rPr>
              <w:t>to</w:t>
            </w:r>
            <w:r w:rsidRPr="000432F2">
              <w:rPr>
                <w:rFonts w:ascii="Arial" w:eastAsia="Calibri" w:hAnsi="Arial"/>
                <w:color w:val="595959"/>
                <w:sz w:val="20"/>
                <w:szCs w:val="20"/>
              </w:rPr>
              <w:t xml:space="preserve"> Gross Dome</w:t>
            </w:r>
            <w:r w:rsidR="00137F84">
              <w:rPr>
                <w:rFonts w:ascii="Arial" w:eastAsia="Calibri" w:hAnsi="Arial"/>
                <w:color w:val="595959"/>
                <w:sz w:val="20"/>
                <w:szCs w:val="20"/>
              </w:rPr>
              <w:t xml:space="preserve">stic Product at current </w:t>
            </w:r>
            <w:r w:rsidR="00137F84" w:rsidRPr="00710C90">
              <w:rPr>
                <w:rFonts w:ascii="Arial" w:eastAsia="Calibri" w:hAnsi="Arial"/>
                <w:color w:val="595959"/>
                <w:sz w:val="20"/>
                <w:szCs w:val="20"/>
              </w:rPr>
              <w:t>prices</w:t>
            </w:r>
            <w:r w:rsidR="00137F84" w:rsidRPr="002D61F0">
              <w:rPr>
                <w:rFonts w:ascii="Arial" w:eastAsia="Calibri" w:hAnsi="Arial"/>
                <w:color w:val="595959"/>
                <w:sz w:val="20"/>
                <w:szCs w:val="20"/>
              </w:rPr>
              <w:t>, Q</w:t>
            </w:r>
            <w:r w:rsidR="00264D0C">
              <w:rPr>
                <w:rFonts w:ascii="Arial" w:eastAsia="Calibri" w:hAnsi="Arial"/>
                <w:color w:val="595959"/>
                <w:sz w:val="20"/>
                <w:szCs w:val="20"/>
              </w:rPr>
              <w:t>1</w:t>
            </w:r>
            <w:r w:rsidR="00137F84" w:rsidRPr="002D61F0">
              <w:rPr>
                <w:rFonts w:ascii="Arial" w:eastAsia="Calibri" w:hAnsi="Arial"/>
                <w:color w:val="595959"/>
                <w:sz w:val="20"/>
                <w:szCs w:val="20"/>
              </w:rPr>
              <w:t xml:space="preserve"> </w:t>
            </w:r>
            <w:r w:rsidR="00A71A48">
              <w:rPr>
                <w:rFonts w:ascii="Arial" w:eastAsia="Calibri" w:hAnsi="Arial"/>
                <w:color w:val="595959"/>
                <w:sz w:val="20"/>
                <w:szCs w:val="20"/>
              </w:rPr>
              <w:t>2019</w:t>
            </w:r>
            <w:r w:rsidR="00BB3E03">
              <w:rPr>
                <w:rFonts w:ascii="Arial" w:eastAsia="Calibri" w:hAnsi="Arial"/>
                <w:color w:val="595959"/>
                <w:sz w:val="20"/>
                <w:szCs w:val="20"/>
              </w:rPr>
              <w:t>…..</w:t>
            </w:r>
            <w:r w:rsidRPr="000432F2">
              <w:rPr>
                <w:rFonts w:ascii="Arial" w:eastAsia="Calibri" w:hAnsi="Arial"/>
                <w:color w:val="595959"/>
                <w:sz w:val="20"/>
                <w:szCs w:val="20"/>
              </w:rPr>
              <w:t>…</w:t>
            </w:r>
            <w:r w:rsidR="00137F84">
              <w:rPr>
                <w:rFonts w:ascii="Arial" w:eastAsia="Calibri" w:hAnsi="Arial"/>
                <w:color w:val="595959"/>
                <w:sz w:val="20"/>
                <w:szCs w:val="20"/>
              </w:rPr>
              <w:t>……….</w:t>
            </w:r>
            <w:r w:rsidR="00831E4A">
              <w:rPr>
                <w:rFonts w:ascii="Arial" w:eastAsia="Calibri" w:hAnsi="Arial"/>
                <w:color w:val="595959"/>
                <w:sz w:val="20"/>
                <w:szCs w:val="20"/>
              </w:rPr>
              <w:t>…..</w:t>
            </w:r>
            <w:r w:rsidRPr="000432F2">
              <w:rPr>
                <w:rFonts w:ascii="Arial" w:eastAsia="Calibri" w:hAnsi="Arial"/>
                <w:color w:val="595959"/>
                <w:sz w:val="20"/>
                <w:szCs w:val="20"/>
              </w:rPr>
              <w:t xml:space="preserve">….. </w:t>
            </w:r>
            <w:r w:rsidR="00CD6A0F">
              <w:rPr>
                <w:rFonts w:ascii="Arial" w:eastAsia="Calibri" w:hAnsi="Arial"/>
                <w:color w:val="595959"/>
                <w:sz w:val="20"/>
                <w:szCs w:val="20"/>
              </w:rPr>
              <w:t>8</w:t>
            </w:r>
          </w:p>
        </w:tc>
      </w:tr>
      <w:tr w:rsidR="004B4B68" w:rsidRPr="00B2550C" w14:paraId="7A6DA7FC" w14:textId="77777777" w:rsidTr="004B4B68">
        <w:trPr>
          <w:trHeight w:val="461"/>
          <w:jc w:val="center"/>
        </w:trPr>
        <w:tc>
          <w:tcPr>
            <w:tcW w:w="9420" w:type="dxa"/>
            <w:shd w:val="clear" w:color="auto" w:fill="auto"/>
          </w:tcPr>
          <w:p w14:paraId="40BEFFF1" w14:textId="5164FD38" w:rsidR="004B4B68" w:rsidRPr="000432F2" w:rsidRDefault="004B4B68" w:rsidP="00D614DE">
            <w:pPr>
              <w:tabs>
                <w:tab w:val="right" w:pos="9657"/>
              </w:tabs>
              <w:autoSpaceDE w:val="0"/>
              <w:autoSpaceDN w:val="0"/>
              <w:adjustRightInd w:val="0"/>
              <w:spacing w:line="360" w:lineRule="auto"/>
              <w:ind w:right="4"/>
              <w:jc w:val="both"/>
              <w:rPr>
                <w:rFonts w:ascii="Arial" w:eastAsia="Calibri" w:hAnsi="Arial"/>
                <w:color w:val="595959"/>
                <w:sz w:val="20"/>
                <w:szCs w:val="20"/>
              </w:rPr>
            </w:pPr>
            <w:r w:rsidRPr="000432F2">
              <w:rPr>
                <w:rFonts w:ascii="Arial" w:eastAsia="Calibri" w:hAnsi="Arial"/>
                <w:color w:val="595959"/>
                <w:sz w:val="20"/>
                <w:szCs w:val="20"/>
              </w:rPr>
              <w:t xml:space="preserve">Figure 4: Percentage change </w:t>
            </w:r>
            <w:r w:rsidR="00D614DE">
              <w:rPr>
                <w:rFonts w:ascii="Arial" w:eastAsia="Calibri" w:hAnsi="Arial"/>
                <w:color w:val="595959"/>
                <w:sz w:val="20"/>
                <w:szCs w:val="20"/>
              </w:rPr>
              <w:t>in</w:t>
            </w:r>
            <w:r w:rsidRPr="000432F2">
              <w:rPr>
                <w:rFonts w:ascii="Arial" w:eastAsia="Calibri" w:hAnsi="Arial"/>
                <w:color w:val="595959"/>
                <w:sz w:val="20"/>
                <w:szCs w:val="20"/>
              </w:rPr>
              <w:t xml:space="preserve"> Gross Domestic Product at constant 2007 prices </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00831E4A">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8</w:t>
            </w:r>
          </w:p>
        </w:tc>
      </w:tr>
      <w:tr w:rsidR="004B4B68" w:rsidRPr="00B2550C" w14:paraId="34681CA2" w14:textId="77777777" w:rsidTr="004B4B68">
        <w:trPr>
          <w:trHeight w:val="461"/>
          <w:jc w:val="center"/>
        </w:trPr>
        <w:tc>
          <w:tcPr>
            <w:tcW w:w="9420" w:type="dxa"/>
            <w:shd w:val="clear" w:color="auto" w:fill="auto"/>
          </w:tcPr>
          <w:p w14:paraId="5BD27890" w14:textId="567E0618" w:rsidR="004B4B68" w:rsidRPr="000432F2" w:rsidRDefault="004B4B68" w:rsidP="004B4B68">
            <w:pPr>
              <w:autoSpaceDE w:val="0"/>
              <w:autoSpaceDN w:val="0"/>
              <w:adjustRightInd w:val="0"/>
              <w:spacing w:line="360" w:lineRule="auto"/>
              <w:ind w:right="4"/>
              <w:jc w:val="both"/>
              <w:rPr>
                <w:rFonts w:ascii="Arial" w:eastAsia="Calibri" w:hAnsi="Arial"/>
                <w:color w:val="595959"/>
                <w:sz w:val="20"/>
                <w:szCs w:val="20"/>
              </w:rPr>
            </w:pPr>
            <w:r w:rsidRPr="000432F2">
              <w:rPr>
                <w:rFonts w:ascii="Arial" w:eastAsia="Calibri" w:hAnsi="Arial"/>
                <w:color w:val="595959"/>
                <w:sz w:val="20"/>
                <w:szCs w:val="20"/>
              </w:rPr>
              <w:t xml:space="preserve">Figure </w:t>
            </w:r>
            <w:r>
              <w:rPr>
                <w:rFonts w:ascii="Arial" w:eastAsia="Calibri" w:hAnsi="Arial"/>
                <w:color w:val="595959"/>
                <w:sz w:val="20"/>
                <w:szCs w:val="20"/>
              </w:rPr>
              <w:t>5</w:t>
            </w:r>
            <w:r w:rsidRPr="000432F2">
              <w:rPr>
                <w:rFonts w:ascii="Arial" w:eastAsia="Calibri" w:hAnsi="Arial"/>
                <w:color w:val="595959"/>
                <w:sz w:val="20"/>
                <w:szCs w:val="20"/>
              </w:rPr>
              <w:t>: Percentage change in Gross Domestic Product by sectors at current prices ……</w:t>
            </w:r>
            <w:r>
              <w:rPr>
                <w:rFonts w:ascii="Arial" w:eastAsia="Calibri" w:hAnsi="Arial"/>
                <w:color w:val="595959"/>
                <w:sz w:val="20"/>
                <w:szCs w:val="20"/>
              </w:rPr>
              <w:t>.</w:t>
            </w:r>
            <w:r w:rsidRPr="000432F2">
              <w:rPr>
                <w:rFonts w:ascii="Arial" w:eastAsia="Calibri" w:hAnsi="Arial"/>
                <w:color w:val="595959"/>
                <w:sz w:val="20"/>
                <w:szCs w:val="20"/>
              </w:rPr>
              <w:t>….…</w:t>
            </w:r>
            <w:r w:rsidR="00831E4A">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9</w:t>
            </w:r>
          </w:p>
        </w:tc>
      </w:tr>
      <w:tr w:rsidR="004B4B68" w:rsidRPr="00B2550C" w14:paraId="5CA943B1" w14:textId="77777777" w:rsidTr="004B4B68">
        <w:trPr>
          <w:trHeight w:val="461"/>
          <w:jc w:val="center"/>
        </w:trPr>
        <w:tc>
          <w:tcPr>
            <w:tcW w:w="9420" w:type="dxa"/>
            <w:shd w:val="clear" w:color="auto" w:fill="auto"/>
          </w:tcPr>
          <w:p w14:paraId="191F310B" w14:textId="15CFD95C" w:rsidR="004B4B68" w:rsidRPr="000432F2" w:rsidRDefault="004B4B68" w:rsidP="005B0C9F">
            <w:pPr>
              <w:autoSpaceDE w:val="0"/>
              <w:autoSpaceDN w:val="0"/>
              <w:adjustRightInd w:val="0"/>
              <w:spacing w:line="360" w:lineRule="auto"/>
              <w:ind w:right="4"/>
              <w:rPr>
                <w:rFonts w:ascii="Arial" w:eastAsia="Calibri" w:hAnsi="Arial"/>
                <w:color w:val="595959"/>
                <w:sz w:val="20"/>
                <w:szCs w:val="20"/>
              </w:rPr>
            </w:pPr>
            <w:r w:rsidRPr="000432F2">
              <w:rPr>
                <w:rFonts w:ascii="Arial" w:eastAsia="Calibri" w:hAnsi="Arial"/>
                <w:color w:val="595959"/>
                <w:sz w:val="20"/>
                <w:szCs w:val="20"/>
              </w:rPr>
              <w:t xml:space="preserve">Figure </w:t>
            </w:r>
            <w:r>
              <w:rPr>
                <w:rFonts w:ascii="Arial" w:eastAsia="Calibri" w:hAnsi="Arial"/>
                <w:color w:val="595959"/>
                <w:sz w:val="20"/>
                <w:szCs w:val="20"/>
              </w:rPr>
              <w:t>6</w:t>
            </w:r>
            <w:r w:rsidRPr="000432F2">
              <w:rPr>
                <w:rFonts w:ascii="Arial" w:eastAsia="Calibri" w:hAnsi="Arial"/>
                <w:color w:val="595959"/>
                <w:sz w:val="20"/>
                <w:szCs w:val="20"/>
              </w:rPr>
              <w:t xml:space="preserve">: Percentage change in </w:t>
            </w:r>
            <w:r w:rsidR="005B0C9F">
              <w:rPr>
                <w:rFonts w:ascii="Arial" w:eastAsia="Calibri" w:hAnsi="Arial"/>
                <w:color w:val="595959"/>
                <w:sz w:val="20"/>
                <w:szCs w:val="20"/>
              </w:rPr>
              <w:t>the ‘N</w:t>
            </w:r>
            <w:r w:rsidRPr="000432F2">
              <w:rPr>
                <w:rFonts w:ascii="Arial" w:eastAsia="Calibri" w:hAnsi="Arial"/>
                <w:color w:val="595959"/>
                <w:sz w:val="20"/>
                <w:szCs w:val="20"/>
              </w:rPr>
              <w:t>on-financial</w:t>
            </w:r>
            <w:r w:rsidR="005B0C9F">
              <w:rPr>
                <w:rFonts w:ascii="Arial" w:eastAsia="Calibri" w:hAnsi="Arial"/>
                <w:color w:val="595959"/>
                <w:sz w:val="20"/>
                <w:szCs w:val="20"/>
              </w:rPr>
              <w:t xml:space="preserve">’ sector </w:t>
            </w:r>
            <w:r w:rsidRPr="000432F2">
              <w:rPr>
                <w:rFonts w:ascii="Arial" w:eastAsia="Calibri" w:hAnsi="Arial"/>
                <w:color w:val="595959"/>
                <w:sz w:val="20"/>
                <w:szCs w:val="20"/>
              </w:rPr>
              <w:t>at current prices</w:t>
            </w:r>
            <w:r w:rsidR="009601C0">
              <w:rPr>
                <w:rFonts w:ascii="Arial" w:eastAsia="Calibri" w:hAnsi="Arial"/>
                <w:color w:val="595959"/>
                <w:sz w:val="20"/>
                <w:szCs w:val="20"/>
              </w:rPr>
              <w:t xml:space="preserve">  </w:t>
            </w:r>
            <w:r w:rsidR="005B0C9F">
              <w:rPr>
                <w:rFonts w:ascii="Arial" w:eastAsia="Calibri" w:hAnsi="Arial"/>
                <w:color w:val="595959"/>
                <w:sz w:val="20"/>
                <w:szCs w:val="20"/>
              </w:rPr>
              <w:t xml:space="preserve">  </w:t>
            </w:r>
            <w:r w:rsidR="00766298">
              <w:rPr>
                <w:rFonts w:ascii="Arial" w:eastAsia="Calibri" w:hAnsi="Arial"/>
                <w:color w:val="595959"/>
                <w:sz w:val="20"/>
                <w:szCs w:val="20"/>
              </w:rPr>
              <w:t xml:space="preserve"> ...</w:t>
            </w:r>
            <w:r w:rsidRPr="000432F2">
              <w:rPr>
                <w:rFonts w:ascii="Arial" w:eastAsia="Calibri" w:hAnsi="Arial"/>
                <w:color w:val="595959"/>
                <w:sz w:val="20"/>
                <w:szCs w:val="20"/>
              </w:rPr>
              <w:t>………</w:t>
            </w:r>
            <w:r>
              <w:rPr>
                <w:rFonts w:ascii="Arial" w:eastAsia="Calibri" w:hAnsi="Arial"/>
                <w:color w:val="595959"/>
                <w:sz w:val="20"/>
                <w:szCs w:val="20"/>
              </w:rPr>
              <w:t>……</w:t>
            </w:r>
            <w:r w:rsidR="005C5D27">
              <w:rPr>
                <w:rFonts w:ascii="Arial" w:eastAsia="Calibri" w:hAnsi="Arial"/>
                <w:color w:val="595959"/>
                <w:sz w:val="20"/>
                <w:szCs w:val="20"/>
              </w:rPr>
              <w:t>..</w:t>
            </w:r>
            <w:r>
              <w:rPr>
                <w:rFonts w:ascii="Arial" w:eastAsia="Calibri" w:hAnsi="Arial"/>
                <w:color w:val="595959"/>
                <w:sz w:val="20"/>
                <w:szCs w:val="20"/>
              </w:rPr>
              <w:t>…...</w:t>
            </w:r>
            <w:r w:rsidR="00CD6A0F">
              <w:rPr>
                <w:rFonts w:ascii="Arial" w:eastAsia="Calibri" w:hAnsi="Arial"/>
                <w:color w:val="595959"/>
                <w:sz w:val="20"/>
                <w:szCs w:val="20"/>
              </w:rPr>
              <w:t>....</w:t>
            </w:r>
            <w:r>
              <w:rPr>
                <w:rFonts w:ascii="Arial" w:eastAsia="Calibri" w:hAnsi="Arial"/>
                <w:color w:val="595959"/>
                <w:sz w:val="20"/>
                <w:szCs w:val="20"/>
              </w:rPr>
              <w:t>…</w:t>
            </w:r>
            <w:r w:rsidR="008B41C6">
              <w:rPr>
                <w:rFonts w:ascii="Arial" w:eastAsia="Calibri" w:hAnsi="Arial"/>
                <w:color w:val="595959"/>
                <w:sz w:val="20"/>
                <w:szCs w:val="20"/>
              </w:rPr>
              <w:t>..</w:t>
            </w:r>
            <w:r>
              <w:rPr>
                <w:rFonts w:ascii="Arial" w:eastAsia="Calibri" w:hAnsi="Arial"/>
                <w:color w:val="595959"/>
                <w:sz w:val="20"/>
                <w:szCs w:val="20"/>
              </w:rPr>
              <w:t>...…</w:t>
            </w:r>
            <w:r w:rsidR="00B55CB8">
              <w:rPr>
                <w:rFonts w:ascii="Arial" w:eastAsia="Calibri" w:hAnsi="Arial"/>
                <w:color w:val="595959"/>
                <w:sz w:val="20"/>
                <w:szCs w:val="20"/>
              </w:rPr>
              <w:t>..</w:t>
            </w:r>
            <w:r w:rsidR="00CD6A0F">
              <w:rPr>
                <w:rFonts w:ascii="Arial" w:eastAsia="Calibri" w:hAnsi="Arial"/>
                <w:color w:val="595959"/>
                <w:sz w:val="20"/>
                <w:szCs w:val="20"/>
              </w:rPr>
              <w:t>10</w:t>
            </w:r>
          </w:p>
        </w:tc>
      </w:tr>
      <w:tr w:rsidR="004B4B68" w:rsidRPr="00B2550C" w14:paraId="0897683D" w14:textId="77777777" w:rsidTr="004B4B68">
        <w:trPr>
          <w:trHeight w:val="461"/>
          <w:jc w:val="center"/>
        </w:trPr>
        <w:tc>
          <w:tcPr>
            <w:tcW w:w="9420" w:type="dxa"/>
            <w:shd w:val="clear" w:color="auto" w:fill="auto"/>
          </w:tcPr>
          <w:p w14:paraId="6496CF31" w14:textId="4B28BEEB" w:rsidR="004B4B68" w:rsidRPr="000432F2" w:rsidRDefault="004B4B68" w:rsidP="005B0C9F">
            <w:pPr>
              <w:autoSpaceDE w:val="0"/>
              <w:autoSpaceDN w:val="0"/>
              <w:adjustRightInd w:val="0"/>
              <w:spacing w:line="360" w:lineRule="auto"/>
              <w:ind w:right="4"/>
              <w:rPr>
                <w:rFonts w:ascii="Arial" w:eastAsia="Calibri" w:hAnsi="Arial"/>
                <w:color w:val="595959"/>
                <w:sz w:val="20"/>
                <w:szCs w:val="20"/>
              </w:rPr>
            </w:pPr>
            <w:r w:rsidRPr="000432F2">
              <w:rPr>
                <w:rFonts w:ascii="Arial" w:eastAsia="Calibri" w:hAnsi="Arial"/>
                <w:color w:val="595959"/>
                <w:sz w:val="20"/>
                <w:szCs w:val="20"/>
              </w:rPr>
              <w:t xml:space="preserve">Figure </w:t>
            </w:r>
            <w:r>
              <w:rPr>
                <w:rFonts w:ascii="Arial" w:eastAsia="Calibri" w:hAnsi="Arial"/>
                <w:color w:val="595959"/>
                <w:sz w:val="20"/>
                <w:szCs w:val="20"/>
              </w:rPr>
              <w:t>7</w:t>
            </w:r>
            <w:r w:rsidRPr="000432F2">
              <w:rPr>
                <w:rFonts w:ascii="Arial" w:eastAsia="Calibri" w:hAnsi="Arial"/>
                <w:color w:val="595959"/>
                <w:sz w:val="20"/>
                <w:szCs w:val="20"/>
              </w:rPr>
              <w:t>: Percentage change in</w:t>
            </w:r>
            <w:r w:rsidR="005B0C9F">
              <w:rPr>
                <w:rFonts w:ascii="Arial" w:eastAsia="Calibri" w:hAnsi="Arial"/>
                <w:color w:val="595959"/>
                <w:sz w:val="20"/>
                <w:szCs w:val="20"/>
              </w:rPr>
              <w:t xml:space="preserve"> the ‘F</w:t>
            </w:r>
            <w:r w:rsidRPr="000432F2">
              <w:rPr>
                <w:rFonts w:ascii="Arial" w:eastAsia="Calibri" w:hAnsi="Arial"/>
                <w:color w:val="595959"/>
                <w:sz w:val="20"/>
                <w:szCs w:val="20"/>
              </w:rPr>
              <w:t xml:space="preserve">inancial </w:t>
            </w:r>
            <w:r w:rsidR="005B0C9F">
              <w:rPr>
                <w:rFonts w:ascii="Arial" w:eastAsia="Calibri" w:hAnsi="Arial"/>
                <w:color w:val="595959"/>
                <w:sz w:val="20"/>
                <w:szCs w:val="20"/>
              </w:rPr>
              <w:t>companies’ sector</w:t>
            </w:r>
            <w:r w:rsidRPr="000432F2">
              <w:rPr>
                <w:rFonts w:ascii="Arial" w:eastAsia="Calibri" w:hAnsi="Arial"/>
                <w:color w:val="595959"/>
                <w:sz w:val="20"/>
                <w:szCs w:val="20"/>
              </w:rPr>
              <w:t xml:space="preserve"> at current prices</w:t>
            </w:r>
            <w:r w:rsidR="005B0C9F">
              <w:rPr>
                <w:rFonts w:ascii="Arial" w:eastAsia="Calibri" w:hAnsi="Arial"/>
                <w:color w:val="595959"/>
                <w:sz w:val="20"/>
                <w:szCs w:val="20"/>
              </w:rPr>
              <w:t xml:space="preserve"> </w:t>
            </w:r>
            <w:r>
              <w:rPr>
                <w:rFonts w:ascii="Arial" w:eastAsia="Calibri" w:hAnsi="Arial"/>
                <w:color w:val="595959"/>
                <w:sz w:val="20"/>
                <w:szCs w:val="20"/>
              </w:rPr>
              <w:t>…………………..….……</w:t>
            </w:r>
            <w:r w:rsidR="00766298">
              <w:rPr>
                <w:rFonts w:ascii="Arial" w:eastAsia="Calibri" w:hAnsi="Arial"/>
                <w:color w:val="595959"/>
                <w:sz w:val="20"/>
                <w:szCs w:val="20"/>
              </w:rPr>
              <w:t>.</w:t>
            </w:r>
            <w:r>
              <w:rPr>
                <w:rFonts w:ascii="Arial" w:eastAsia="Calibri" w:hAnsi="Arial"/>
                <w:color w:val="595959"/>
                <w:sz w:val="20"/>
                <w:szCs w:val="20"/>
              </w:rPr>
              <w:t>10</w:t>
            </w:r>
          </w:p>
        </w:tc>
      </w:tr>
      <w:tr w:rsidR="004B4B68" w:rsidRPr="00B2550C" w14:paraId="518F8064" w14:textId="77777777" w:rsidTr="004B4B68">
        <w:trPr>
          <w:trHeight w:val="461"/>
          <w:jc w:val="center"/>
        </w:trPr>
        <w:tc>
          <w:tcPr>
            <w:tcW w:w="9420" w:type="dxa"/>
            <w:shd w:val="clear" w:color="auto" w:fill="auto"/>
          </w:tcPr>
          <w:p w14:paraId="3386B30B" w14:textId="3866AD5F" w:rsidR="004B4B68" w:rsidRPr="000432F2" w:rsidRDefault="004B4B68" w:rsidP="005B0C9F">
            <w:pPr>
              <w:autoSpaceDE w:val="0"/>
              <w:autoSpaceDN w:val="0"/>
              <w:adjustRightInd w:val="0"/>
              <w:spacing w:line="360" w:lineRule="auto"/>
              <w:ind w:right="4"/>
              <w:rPr>
                <w:rFonts w:ascii="Arial" w:eastAsia="Calibri" w:hAnsi="Arial"/>
                <w:color w:val="595959"/>
                <w:sz w:val="20"/>
                <w:szCs w:val="20"/>
              </w:rPr>
            </w:pPr>
            <w:r w:rsidRPr="000432F2">
              <w:rPr>
                <w:rFonts w:ascii="Arial" w:eastAsia="Calibri" w:hAnsi="Arial"/>
                <w:color w:val="595959"/>
                <w:sz w:val="20"/>
                <w:szCs w:val="20"/>
              </w:rPr>
              <w:t xml:space="preserve">Figure </w:t>
            </w:r>
            <w:r>
              <w:rPr>
                <w:rFonts w:ascii="Arial" w:eastAsia="Calibri" w:hAnsi="Arial"/>
                <w:color w:val="595959"/>
                <w:sz w:val="20"/>
                <w:szCs w:val="20"/>
              </w:rPr>
              <w:t>8</w:t>
            </w:r>
            <w:r w:rsidRPr="000432F2">
              <w:rPr>
                <w:rFonts w:ascii="Arial" w:eastAsia="Calibri" w:hAnsi="Arial"/>
                <w:color w:val="595959"/>
                <w:sz w:val="20"/>
                <w:szCs w:val="20"/>
              </w:rPr>
              <w:t xml:space="preserve">: Percentage change in </w:t>
            </w:r>
            <w:r w:rsidR="005B0C9F">
              <w:rPr>
                <w:rFonts w:ascii="Arial" w:eastAsia="Calibri" w:hAnsi="Arial"/>
                <w:color w:val="595959"/>
                <w:sz w:val="20"/>
                <w:szCs w:val="20"/>
              </w:rPr>
              <w:t>the ‘General government’ sector</w:t>
            </w:r>
            <w:r w:rsidRPr="000432F2">
              <w:rPr>
                <w:rFonts w:ascii="Arial" w:eastAsia="Calibri" w:hAnsi="Arial"/>
                <w:color w:val="595959"/>
                <w:sz w:val="20"/>
                <w:szCs w:val="20"/>
              </w:rPr>
              <w:t xml:space="preserve"> at current prices</w:t>
            </w:r>
            <w:r w:rsidR="005B0C9F">
              <w:rPr>
                <w:rFonts w:ascii="Arial" w:eastAsia="Calibri" w:hAnsi="Arial"/>
                <w:color w:val="595959"/>
                <w:sz w:val="20"/>
                <w:szCs w:val="20"/>
              </w:rPr>
              <w:t xml:space="preserve">   …………...</w:t>
            </w:r>
            <w:r>
              <w:rPr>
                <w:rFonts w:ascii="Arial" w:eastAsia="Calibri" w:hAnsi="Arial"/>
                <w:color w:val="595959"/>
                <w:sz w:val="20"/>
                <w:szCs w:val="20"/>
              </w:rPr>
              <w:t>.</w:t>
            </w:r>
            <w:r w:rsidRPr="000432F2">
              <w:rPr>
                <w:rFonts w:ascii="Arial" w:eastAsia="Calibri" w:hAnsi="Arial"/>
                <w:color w:val="595959"/>
                <w:sz w:val="20"/>
                <w:szCs w:val="20"/>
              </w:rPr>
              <w:t>…</w:t>
            </w:r>
            <w:r w:rsidR="00831E4A">
              <w:rPr>
                <w:rFonts w:ascii="Arial" w:eastAsia="Calibri" w:hAnsi="Arial"/>
                <w:color w:val="595959"/>
                <w:sz w:val="20"/>
                <w:szCs w:val="20"/>
              </w:rPr>
              <w:t>..</w:t>
            </w:r>
            <w:r>
              <w:rPr>
                <w:rFonts w:ascii="Arial" w:eastAsia="Calibri" w:hAnsi="Arial"/>
                <w:color w:val="595959"/>
                <w:sz w:val="20"/>
                <w:szCs w:val="20"/>
              </w:rPr>
              <w:t>..…</w:t>
            </w:r>
            <w:r w:rsidR="00831E4A">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00D017AA">
              <w:rPr>
                <w:rFonts w:ascii="Arial" w:eastAsia="Calibri" w:hAnsi="Arial"/>
                <w:color w:val="595959"/>
                <w:sz w:val="20"/>
                <w:szCs w:val="20"/>
              </w:rPr>
              <w:t>1</w:t>
            </w:r>
            <w:r w:rsidR="00CD6A0F">
              <w:rPr>
                <w:rFonts w:ascii="Arial" w:eastAsia="Calibri" w:hAnsi="Arial"/>
                <w:color w:val="595959"/>
                <w:sz w:val="20"/>
                <w:szCs w:val="20"/>
              </w:rPr>
              <w:t>1</w:t>
            </w:r>
          </w:p>
        </w:tc>
      </w:tr>
      <w:tr w:rsidR="004B4B68" w:rsidRPr="00B2550C" w14:paraId="1213D64E" w14:textId="77777777" w:rsidTr="004B4B68">
        <w:trPr>
          <w:trHeight w:val="461"/>
          <w:jc w:val="center"/>
        </w:trPr>
        <w:tc>
          <w:tcPr>
            <w:tcW w:w="9420" w:type="dxa"/>
            <w:shd w:val="clear" w:color="auto" w:fill="auto"/>
          </w:tcPr>
          <w:p w14:paraId="093D5C8A" w14:textId="5615F9B1" w:rsidR="004B4B68" w:rsidRPr="000432F2" w:rsidRDefault="004B4B68" w:rsidP="005B0C9F">
            <w:pPr>
              <w:autoSpaceDE w:val="0"/>
              <w:autoSpaceDN w:val="0"/>
              <w:adjustRightInd w:val="0"/>
              <w:spacing w:line="360" w:lineRule="auto"/>
              <w:ind w:right="4"/>
              <w:rPr>
                <w:rFonts w:ascii="Arial" w:eastAsia="Calibri" w:hAnsi="Arial"/>
                <w:color w:val="595959"/>
                <w:sz w:val="20"/>
                <w:szCs w:val="20"/>
              </w:rPr>
            </w:pPr>
            <w:r w:rsidRPr="000432F2">
              <w:rPr>
                <w:rFonts w:ascii="Arial" w:eastAsia="Calibri" w:hAnsi="Arial"/>
                <w:color w:val="595959"/>
                <w:sz w:val="20"/>
                <w:szCs w:val="20"/>
              </w:rPr>
              <w:t xml:space="preserve">Figure </w:t>
            </w:r>
            <w:r>
              <w:rPr>
                <w:rFonts w:ascii="Arial" w:eastAsia="Calibri" w:hAnsi="Arial"/>
                <w:color w:val="595959"/>
                <w:sz w:val="20"/>
                <w:szCs w:val="20"/>
              </w:rPr>
              <w:t>9</w:t>
            </w:r>
            <w:r w:rsidRPr="000432F2">
              <w:rPr>
                <w:rFonts w:ascii="Arial" w:eastAsia="Calibri" w:hAnsi="Arial"/>
                <w:color w:val="595959"/>
                <w:sz w:val="20"/>
                <w:szCs w:val="20"/>
              </w:rPr>
              <w:t xml:space="preserve">: Percentage change in </w:t>
            </w:r>
            <w:r w:rsidR="005B0C9F">
              <w:rPr>
                <w:rFonts w:ascii="Arial" w:eastAsia="Calibri" w:hAnsi="Arial"/>
                <w:color w:val="595959"/>
                <w:sz w:val="20"/>
                <w:szCs w:val="20"/>
              </w:rPr>
              <w:t>the ‘Household’ sector</w:t>
            </w:r>
            <w:r w:rsidRPr="000432F2">
              <w:rPr>
                <w:rFonts w:ascii="Arial" w:eastAsia="Calibri" w:hAnsi="Arial"/>
                <w:color w:val="595959"/>
                <w:sz w:val="20"/>
                <w:szCs w:val="20"/>
              </w:rPr>
              <w:t xml:space="preserve"> at current prices</w:t>
            </w:r>
            <w:r>
              <w:rPr>
                <w:rFonts w:ascii="Arial" w:eastAsia="Calibri" w:hAnsi="Arial"/>
                <w:color w:val="595959"/>
                <w:sz w:val="20"/>
                <w:szCs w:val="20"/>
              </w:rPr>
              <w:t xml:space="preserve"> </w:t>
            </w:r>
            <w:r w:rsidR="005B0C9F">
              <w:rPr>
                <w:rFonts w:ascii="Arial" w:eastAsia="Calibri" w:hAnsi="Arial"/>
                <w:color w:val="595959"/>
                <w:sz w:val="20"/>
                <w:szCs w:val="20"/>
              </w:rPr>
              <w:t>………………...</w:t>
            </w:r>
            <w:r w:rsidR="00766298">
              <w:rPr>
                <w:rFonts w:ascii="Arial" w:eastAsia="Calibri" w:hAnsi="Arial"/>
                <w:color w:val="595959"/>
                <w:sz w:val="20"/>
                <w:szCs w:val="20"/>
              </w:rPr>
              <w:t>……..</w:t>
            </w:r>
            <w:r>
              <w:rPr>
                <w:rFonts w:ascii="Arial" w:eastAsia="Calibri" w:hAnsi="Arial"/>
                <w:color w:val="595959"/>
                <w:sz w:val="20"/>
                <w:szCs w:val="20"/>
              </w:rPr>
              <w:t>………</w:t>
            </w:r>
            <w:r w:rsidR="00831E4A">
              <w:rPr>
                <w:rFonts w:ascii="Arial" w:eastAsia="Calibri" w:hAnsi="Arial"/>
                <w:color w:val="595959"/>
                <w:sz w:val="20"/>
                <w:szCs w:val="20"/>
              </w:rPr>
              <w:t>..</w:t>
            </w:r>
            <w:r>
              <w:rPr>
                <w:rFonts w:ascii="Arial" w:eastAsia="Calibri" w:hAnsi="Arial"/>
                <w:color w:val="595959"/>
                <w:sz w:val="20"/>
                <w:szCs w:val="20"/>
              </w:rPr>
              <w:t>.</w:t>
            </w:r>
            <w:r w:rsidR="00831E4A">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 xml:space="preserve">… </w:t>
            </w:r>
            <w:r w:rsidR="00D017AA">
              <w:rPr>
                <w:rFonts w:ascii="Arial" w:eastAsia="Calibri" w:hAnsi="Arial"/>
                <w:color w:val="595959"/>
                <w:sz w:val="20"/>
                <w:szCs w:val="20"/>
              </w:rPr>
              <w:t>11</w:t>
            </w:r>
          </w:p>
        </w:tc>
      </w:tr>
      <w:tr w:rsidR="004B4B68" w:rsidRPr="00B2550C" w14:paraId="117923AE" w14:textId="77777777" w:rsidTr="004B4B68">
        <w:trPr>
          <w:trHeight w:val="461"/>
          <w:jc w:val="center"/>
        </w:trPr>
        <w:tc>
          <w:tcPr>
            <w:tcW w:w="9420" w:type="dxa"/>
            <w:shd w:val="clear" w:color="auto" w:fill="auto"/>
          </w:tcPr>
          <w:p w14:paraId="1E111C58" w14:textId="2418CF86" w:rsidR="004B4B68" w:rsidRPr="000432F2" w:rsidRDefault="004B4B68" w:rsidP="004B4B68">
            <w:pPr>
              <w:autoSpaceDE w:val="0"/>
              <w:autoSpaceDN w:val="0"/>
              <w:adjustRightInd w:val="0"/>
              <w:spacing w:line="360" w:lineRule="auto"/>
              <w:ind w:right="-66"/>
              <w:jc w:val="both"/>
              <w:rPr>
                <w:rFonts w:ascii="Arial" w:eastAsia="Calibri" w:hAnsi="Arial"/>
                <w:color w:val="595959"/>
                <w:sz w:val="20"/>
                <w:szCs w:val="20"/>
              </w:rPr>
            </w:pPr>
            <w:r w:rsidRPr="000432F2">
              <w:rPr>
                <w:rFonts w:ascii="Arial" w:eastAsia="Calibri" w:hAnsi="Arial"/>
                <w:color w:val="595959"/>
                <w:sz w:val="20"/>
                <w:szCs w:val="20"/>
              </w:rPr>
              <w:t>Figure 1</w:t>
            </w:r>
            <w:r>
              <w:rPr>
                <w:rFonts w:ascii="Arial" w:eastAsia="Calibri" w:hAnsi="Arial"/>
                <w:color w:val="595959"/>
                <w:sz w:val="20"/>
                <w:szCs w:val="20"/>
              </w:rPr>
              <w:t>0</w:t>
            </w:r>
            <w:r w:rsidRPr="000432F2">
              <w:rPr>
                <w:rFonts w:ascii="Arial" w:eastAsia="Calibri" w:hAnsi="Arial"/>
                <w:color w:val="595959"/>
                <w:sz w:val="20"/>
                <w:szCs w:val="20"/>
              </w:rPr>
              <w:t>: Percentage change in Gross Domestic Product by sectors at constant 2007 prices</w:t>
            </w:r>
            <w:r>
              <w:rPr>
                <w:rFonts w:ascii="Arial" w:eastAsia="Calibri" w:hAnsi="Arial"/>
                <w:color w:val="595959"/>
                <w:sz w:val="20"/>
                <w:szCs w:val="20"/>
              </w:rPr>
              <w:t>…</w:t>
            </w:r>
            <w:r w:rsidRPr="000432F2">
              <w:rPr>
                <w:rFonts w:ascii="Arial" w:eastAsia="Calibri" w:hAnsi="Arial"/>
                <w:color w:val="595959"/>
                <w:sz w:val="20"/>
                <w:szCs w:val="20"/>
              </w:rPr>
              <w:t>…</w:t>
            </w:r>
            <w:r w:rsidR="00831E4A">
              <w:rPr>
                <w:rFonts w:ascii="Arial" w:eastAsia="Calibri" w:hAnsi="Arial"/>
                <w:color w:val="595959"/>
                <w:sz w:val="20"/>
                <w:szCs w:val="20"/>
              </w:rPr>
              <w:t>….</w:t>
            </w:r>
            <w:r>
              <w:rPr>
                <w:rFonts w:ascii="Arial" w:eastAsia="Calibri" w:hAnsi="Arial"/>
                <w:color w:val="595959"/>
                <w:sz w:val="20"/>
                <w:szCs w:val="20"/>
              </w:rPr>
              <w:t>…</w:t>
            </w:r>
            <w:r w:rsidR="00831E4A">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 1</w:t>
            </w:r>
            <w:r>
              <w:rPr>
                <w:rFonts w:ascii="Arial" w:eastAsia="Calibri" w:hAnsi="Arial"/>
                <w:color w:val="595959"/>
                <w:sz w:val="20"/>
                <w:szCs w:val="20"/>
              </w:rPr>
              <w:t>2</w:t>
            </w:r>
          </w:p>
        </w:tc>
      </w:tr>
      <w:tr w:rsidR="004B4B68" w:rsidRPr="00B2550C" w14:paraId="7C9A85DB" w14:textId="77777777" w:rsidTr="004B4B68">
        <w:trPr>
          <w:trHeight w:val="461"/>
          <w:jc w:val="center"/>
        </w:trPr>
        <w:tc>
          <w:tcPr>
            <w:tcW w:w="9420" w:type="dxa"/>
            <w:shd w:val="clear" w:color="auto" w:fill="auto"/>
          </w:tcPr>
          <w:p w14:paraId="6F5A772A" w14:textId="66DE0173" w:rsidR="004B4B68" w:rsidRPr="000432F2" w:rsidRDefault="004B4B68" w:rsidP="005B0C9F">
            <w:pPr>
              <w:autoSpaceDE w:val="0"/>
              <w:autoSpaceDN w:val="0"/>
              <w:adjustRightInd w:val="0"/>
              <w:spacing w:line="360" w:lineRule="auto"/>
              <w:ind w:right="24"/>
              <w:rPr>
                <w:rFonts w:ascii="Arial" w:eastAsia="Calibri" w:hAnsi="Arial"/>
                <w:color w:val="595959"/>
                <w:sz w:val="20"/>
                <w:szCs w:val="20"/>
              </w:rPr>
            </w:pPr>
            <w:r w:rsidRPr="000432F2">
              <w:rPr>
                <w:rFonts w:ascii="Arial" w:eastAsia="Calibri" w:hAnsi="Arial"/>
                <w:color w:val="595959"/>
                <w:sz w:val="20"/>
                <w:szCs w:val="20"/>
              </w:rPr>
              <w:t>Figure 1</w:t>
            </w:r>
            <w:r>
              <w:rPr>
                <w:rFonts w:ascii="Arial" w:eastAsia="Calibri" w:hAnsi="Arial"/>
                <w:color w:val="595959"/>
                <w:sz w:val="20"/>
                <w:szCs w:val="20"/>
              </w:rPr>
              <w:t>1</w:t>
            </w:r>
            <w:r w:rsidRPr="000432F2">
              <w:rPr>
                <w:rFonts w:ascii="Arial" w:eastAsia="Calibri" w:hAnsi="Arial"/>
                <w:color w:val="595959"/>
                <w:sz w:val="20"/>
                <w:szCs w:val="20"/>
              </w:rPr>
              <w:t xml:space="preserve">: Percentage change in </w:t>
            </w:r>
            <w:r w:rsidR="005B0C9F">
              <w:rPr>
                <w:rFonts w:ascii="Arial" w:eastAsia="Calibri" w:hAnsi="Arial"/>
                <w:color w:val="595959"/>
                <w:sz w:val="20"/>
                <w:szCs w:val="20"/>
              </w:rPr>
              <w:t>the ‘N</w:t>
            </w:r>
            <w:r w:rsidRPr="000432F2">
              <w:rPr>
                <w:rFonts w:ascii="Arial" w:eastAsia="Calibri" w:hAnsi="Arial"/>
                <w:color w:val="595959"/>
                <w:sz w:val="20"/>
                <w:szCs w:val="20"/>
              </w:rPr>
              <w:t>on-financial</w:t>
            </w:r>
            <w:r w:rsidR="005B0C9F">
              <w:rPr>
                <w:rFonts w:ascii="Arial" w:eastAsia="Calibri" w:hAnsi="Arial"/>
                <w:color w:val="595959"/>
                <w:sz w:val="20"/>
                <w:szCs w:val="20"/>
              </w:rPr>
              <w:t>’ sector</w:t>
            </w:r>
            <w:r w:rsidRPr="000432F2">
              <w:rPr>
                <w:rFonts w:ascii="Arial" w:eastAsia="Calibri" w:hAnsi="Arial"/>
                <w:color w:val="595959"/>
                <w:sz w:val="20"/>
                <w:szCs w:val="20"/>
              </w:rPr>
              <w:t xml:space="preserve"> at constant 2007 prices</w:t>
            </w:r>
            <w:r w:rsidR="00766298">
              <w:rPr>
                <w:rFonts w:ascii="Arial" w:eastAsia="Calibri" w:hAnsi="Arial"/>
                <w:color w:val="595959"/>
                <w:sz w:val="20"/>
                <w:szCs w:val="20"/>
              </w:rPr>
              <w:t xml:space="preserve"> </w:t>
            </w:r>
            <w:r w:rsidR="005B0C9F">
              <w:rPr>
                <w:rFonts w:ascii="Arial" w:eastAsia="Calibri" w:hAnsi="Arial"/>
                <w:color w:val="595959"/>
                <w:sz w:val="20"/>
                <w:szCs w:val="20"/>
              </w:rPr>
              <w:t>..</w:t>
            </w:r>
            <w:r w:rsidR="00766298">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sidR="00831E4A">
              <w:rPr>
                <w:rFonts w:ascii="Arial" w:eastAsia="Calibri" w:hAnsi="Arial"/>
                <w:color w:val="595959"/>
                <w:sz w:val="20"/>
                <w:szCs w:val="20"/>
              </w:rPr>
              <w:t>.</w:t>
            </w:r>
            <w:r w:rsidRPr="000432F2">
              <w:rPr>
                <w:rFonts w:ascii="Arial" w:eastAsia="Calibri" w:hAnsi="Arial"/>
                <w:color w:val="595959"/>
                <w:sz w:val="20"/>
                <w:szCs w:val="20"/>
              </w:rPr>
              <w:t xml:space="preserve">... </w:t>
            </w:r>
            <w:r w:rsidR="00D017AA">
              <w:rPr>
                <w:rFonts w:ascii="Arial" w:eastAsia="Calibri" w:hAnsi="Arial"/>
                <w:color w:val="595959"/>
                <w:sz w:val="20"/>
                <w:szCs w:val="20"/>
              </w:rPr>
              <w:t>1</w:t>
            </w:r>
            <w:r w:rsidR="00CD6A0F">
              <w:rPr>
                <w:rFonts w:ascii="Arial" w:eastAsia="Calibri" w:hAnsi="Arial"/>
                <w:color w:val="595959"/>
                <w:sz w:val="20"/>
                <w:szCs w:val="20"/>
              </w:rPr>
              <w:t>3</w:t>
            </w:r>
          </w:p>
        </w:tc>
      </w:tr>
      <w:tr w:rsidR="004B4B68" w:rsidRPr="00B2550C" w14:paraId="6E46CE57" w14:textId="77777777" w:rsidTr="004B4B68">
        <w:trPr>
          <w:trHeight w:val="461"/>
          <w:jc w:val="center"/>
        </w:trPr>
        <w:tc>
          <w:tcPr>
            <w:tcW w:w="9420" w:type="dxa"/>
            <w:shd w:val="clear" w:color="auto" w:fill="auto"/>
          </w:tcPr>
          <w:p w14:paraId="4F0E2FA6" w14:textId="1DF6FD4E" w:rsidR="004B4B68" w:rsidRPr="000432F2" w:rsidRDefault="004B4B68" w:rsidP="00831E4A">
            <w:pPr>
              <w:autoSpaceDE w:val="0"/>
              <w:autoSpaceDN w:val="0"/>
              <w:adjustRightInd w:val="0"/>
              <w:spacing w:line="360" w:lineRule="auto"/>
              <w:rPr>
                <w:rFonts w:ascii="Arial" w:eastAsia="Calibri" w:hAnsi="Arial"/>
                <w:color w:val="595959"/>
                <w:sz w:val="20"/>
                <w:szCs w:val="20"/>
              </w:rPr>
            </w:pPr>
            <w:r w:rsidRPr="000432F2">
              <w:rPr>
                <w:rFonts w:ascii="Arial" w:eastAsia="Calibri" w:hAnsi="Arial"/>
                <w:color w:val="595959"/>
                <w:sz w:val="20"/>
                <w:szCs w:val="20"/>
              </w:rPr>
              <w:t>Figure 1</w:t>
            </w:r>
            <w:r>
              <w:rPr>
                <w:rFonts w:ascii="Arial" w:eastAsia="Calibri" w:hAnsi="Arial"/>
                <w:color w:val="595959"/>
                <w:sz w:val="20"/>
                <w:szCs w:val="20"/>
              </w:rPr>
              <w:t>2</w:t>
            </w:r>
            <w:r w:rsidRPr="000432F2">
              <w:rPr>
                <w:rFonts w:ascii="Arial" w:eastAsia="Calibri" w:hAnsi="Arial"/>
                <w:color w:val="595959"/>
                <w:sz w:val="20"/>
                <w:szCs w:val="20"/>
              </w:rPr>
              <w:t xml:space="preserve">: Percentage change in </w:t>
            </w:r>
            <w:r w:rsidR="005B0C9F">
              <w:rPr>
                <w:rFonts w:ascii="Arial" w:eastAsia="Calibri" w:hAnsi="Arial"/>
                <w:color w:val="595959"/>
                <w:sz w:val="20"/>
                <w:szCs w:val="20"/>
              </w:rPr>
              <w:t>the ‘F</w:t>
            </w:r>
            <w:r w:rsidRPr="000432F2">
              <w:rPr>
                <w:rFonts w:ascii="Arial" w:eastAsia="Calibri" w:hAnsi="Arial"/>
                <w:color w:val="595959"/>
                <w:sz w:val="20"/>
                <w:szCs w:val="20"/>
              </w:rPr>
              <w:t xml:space="preserve">inancial </w:t>
            </w:r>
            <w:r w:rsidR="005B0C9F">
              <w:rPr>
                <w:rFonts w:ascii="Arial" w:eastAsia="Calibri" w:hAnsi="Arial"/>
                <w:color w:val="595959"/>
                <w:sz w:val="20"/>
                <w:szCs w:val="20"/>
              </w:rPr>
              <w:t>companies’ sector</w:t>
            </w:r>
            <w:r w:rsidRPr="000432F2">
              <w:rPr>
                <w:rFonts w:ascii="Arial" w:eastAsia="Calibri" w:hAnsi="Arial"/>
                <w:color w:val="595959"/>
                <w:sz w:val="20"/>
                <w:szCs w:val="20"/>
              </w:rPr>
              <w:t xml:space="preserve"> at constant 2007 prices</w:t>
            </w:r>
            <w:r>
              <w:rPr>
                <w:rFonts w:ascii="Arial" w:eastAsia="Calibri" w:hAnsi="Arial"/>
                <w:color w:val="595959"/>
                <w:sz w:val="20"/>
                <w:szCs w:val="20"/>
              </w:rPr>
              <w:t xml:space="preserve"> </w:t>
            </w:r>
            <w:r w:rsidR="00766298">
              <w:rPr>
                <w:rFonts w:ascii="Arial" w:eastAsia="Calibri" w:hAnsi="Arial"/>
                <w:color w:val="595959"/>
                <w:sz w:val="20"/>
                <w:szCs w:val="20"/>
              </w:rPr>
              <w:t>.</w:t>
            </w:r>
            <w:r w:rsidR="005B0C9F">
              <w:rPr>
                <w:rFonts w:ascii="Arial" w:eastAsia="Calibri" w:hAnsi="Arial"/>
                <w:color w:val="595959"/>
                <w:sz w:val="20"/>
                <w:szCs w:val="20"/>
              </w:rPr>
              <w:t>.</w:t>
            </w:r>
            <w:r w:rsidR="00766298">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sidR="00831E4A">
              <w:rPr>
                <w:rFonts w:ascii="Arial" w:eastAsia="Calibri" w:hAnsi="Arial"/>
                <w:color w:val="595959"/>
                <w:sz w:val="20"/>
                <w:szCs w:val="20"/>
              </w:rPr>
              <w:t>.</w:t>
            </w:r>
            <w:r w:rsidRPr="000432F2">
              <w:rPr>
                <w:rFonts w:ascii="Arial" w:eastAsia="Calibri" w:hAnsi="Arial"/>
                <w:color w:val="595959"/>
                <w:sz w:val="20"/>
                <w:szCs w:val="20"/>
              </w:rPr>
              <w:t>…….</w:t>
            </w:r>
            <w:r w:rsidR="00831E4A">
              <w:rPr>
                <w:rFonts w:ascii="Arial" w:eastAsia="Calibri" w:hAnsi="Arial"/>
                <w:color w:val="595959"/>
                <w:sz w:val="20"/>
                <w:szCs w:val="20"/>
              </w:rPr>
              <w:t>.</w:t>
            </w:r>
            <w:r w:rsidRPr="000432F2">
              <w:rPr>
                <w:rFonts w:ascii="Arial" w:eastAsia="Calibri" w:hAnsi="Arial"/>
                <w:color w:val="595959"/>
                <w:sz w:val="20"/>
                <w:szCs w:val="20"/>
              </w:rPr>
              <w:t xml:space="preserve"> 1</w:t>
            </w:r>
            <w:r>
              <w:rPr>
                <w:rFonts w:ascii="Arial" w:eastAsia="Calibri" w:hAnsi="Arial"/>
                <w:color w:val="595959"/>
                <w:sz w:val="20"/>
                <w:szCs w:val="20"/>
              </w:rPr>
              <w:t>3</w:t>
            </w:r>
          </w:p>
        </w:tc>
      </w:tr>
      <w:tr w:rsidR="004B4B68" w:rsidRPr="00B2550C" w14:paraId="5CE18E53" w14:textId="77777777" w:rsidTr="004B4B68">
        <w:trPr>
          <w:trHeight w:val="461"/>
          <w:jc w:val="center"/>
        </w:trPr>
        <w:tc>
          <w:tcPr>
            <w:tcW w:w="9420" w:type="dxa"/>
            <w:shd w:val="clear" w:color="auto" w:fill="auto"/>
          </w:tcPr>
          <w:p w14:paraId="2D66D40C" w14:textId="23042F5E" w:rsidR="004B4B68" w:rsidRPr="000432F2" w:rsidRDefault="004B4B68" w:rsidP="005B0C9F">
            <w:pPr>
              <w:autoSpaceDE w:val="0"/>
              <w:autoSpaceDN w:val="0"/>
              <w:adjustRightInd w:val="0"/>
              <w:spacing w:line="360" w:lineRule="auto"/>
              <w:ind w:right="24"/>
              <w:rPr>
                <w:rFonts w:ascii="Arial" w:eastAsia="Calibri" w:hAnsi="Arial"/>
                <w:color w:val="595959"/>
                <w:sz w:val="20"/>
                <w:szCs w:val="20"/>
              </w:rPr>
            </w:pPr>
            <w:r w:rsidRPr="000432F2">
              <w:rPr>
                <w:rFonts w:ascii="Arial" w:eastAsia="Calibri" w:hAnsi="Arial"/>
                <w:color w:val="595959"/>
                <w:sz w:val="20"/>
                <w:szCs w:val="20"/>
              </w:rPr>
              <w:t>Figure 1</w:t>
            </w:r>
            <w:r>
              <w:rPr>
                <w:rFonts w:ascii="Arial" w:eastAsia="Calibri" w:hAnsi="Arial"/>
                <w:color w:val="595959"/>
                <w:sz w:val="20"/>
                <w:szCs w:val="20"/>
              </w:rPr>
              <w:t>3</w:t>
            </w:r>
            <w:r w:rsidRPr="000432F2">
              <w:rPr>
                <w:rFonts w:ascii="Arial" w:eastAsia="Calibri" w:hAnsi="Arial"/>
                <w:color w:val="595959"/>
                <w:sz w:val="20"/>
                <w:szCs w:val="20"/>
              </w:rPr>
              <w:t xml:space="preserve">: Percentage change in </w:t>
            </w:r>
            <w:r w:rsidR="005B0C9F">
              <w:rPr>
                <w:rFonts w:ascii="Arial" w:eastAsia="Calibri" w:hAnsi="Arial"/>
                <w:color w:val="595959"/>
                <w:sz w:val="20"/>
                <w:szCs w:val="20"/>
              </w:rPr>
              <w:t xml:space="preserve">the ‘General government’ sector </w:t>
            </w:r>
            <w:r w:rsidRPr="000432F2">
              <w:rPr>
                <w:rFonts w:ascii="Arial" w:eastAsia="Calibri" w:hAnsi="Arial"/>
                <w:color w:val="595959"/>
                <w:sz w:val="20"/>
                <w:szCs w:val="20"/>
              </w:rPr>
              <w:t>at constant 2007 prices</w:t>
            </w:r>
            <w:r w:rsidR="00831E4A">
              <w:rPr>
                <w:rFonts w:ascii="Arial" w:eastAsia="Calibri" w:hAnsi="Arial"/>
                <w:color w:val="595959"/>
                <w:sz w:val="20"/>
                <w:szCs w:val="20"/>
              </w:rPr>
              <w:t>.………</w:t>
            </w:r>
            <w:r w:rsidR="005B0C9F">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 xml:space="preserve">.….. </w:t>
            </w:r>
            <w:r w:rsidR="00D017AA">
              <w:rPr>
                <w:rFonts w:ascii="Arial" w:eastAsia="Calibri" w:hAnsi="Arial"/>
                <w:color w:val="595959"/>
                <w:sz w:val="20"/>
                <w:szCs w:val="20"/>
              </w:rPr>
              <w:t>1</w:t>
            </w:r>
            <w:r w:rsidR="00CD6A0F">
              <w:rPr>
                <w:rFonts w:ascii="Arial" w:eastAsia="Calibri" w:hAnsi="Arial"/>
                <w:color w:val="595959"/>
                <w:sz w:val="20"/>
                <w:szCs w:val="20"/>
              </w:rPr>
              <w:t>4</w:t>
            </w:r>
          </w:p>
        </w:tc>
      </w:tr>
      <w:tr w:rsidR="004B4B68" w:rsidRPr="00B2550C" w14:paraId="1A65F698" w14:textId="77777777" w:rsidTr="004B4B68">
        <w:trPr>
          <w:trHeight w:val="461"/>
          <w:jc w:val="center"/>
        </w:trPr>
        <w:tc>
          <w:tcPr>
            <w:tcW w:w="9420" w:type="dxa"/>
            <w:shd w:val="clear" w:color="auto" w:fill="auto"/>
          </w:tcPr>
          <w:p w14:paraId="541DE84F" w14:textId="2DF4810F" w:rsidR="004B4B68" w:rsidRPr="000432F2" w:rsidRDefault="004B4B68" w:rsidP="005B0C9F">
            <w:pPr>
              <w:autoSpaceDE w:val="0"/>
              <w:autoSpaceDN w:val="0"/>
              <w:adjustRightInd w:val="0"/>
              <w:spacing w:line="360" w:lineRule="auto"/>
              <w:rPr>
                <w:rFonts w:ascii="Arial" w:eastAsia="Calibri" w:hAnsi="Arial"/>
                <w:color w:val="595959"/>
                <w:sz w:val="20"/>
                <w:szCs w:val="20"/>
              </w:rPr>
            </w:pPr>
            <w:r w:rsidRPr="000432F2">
              <w:rPr>
                <w:rFonts w:ascii="Arial" w:eastAsia="Calibri" w:hAnsi="Arial"/>
                <w:color w:val="595959"/>
                <w:sz w:val="20"/>
                <w:szCs w:val="20"/>
              </w:rPr>
              <w:t>Figure 1</w:t>
            </w:r>
            <w:r>
              <w:rPr>
                <w:rFonts w:ascii="Arial" w:eastAsia="Calibri" w:hAnsi="Arial"/>
                <w:color w:val="595959"/>
                <w:sz w:val="20"/>
                <w:szCs w:val="20"/>
              </w:rPr>
              <w:t>4</w:t>
            </w:r>
            <w:r w:rsidRPr="000432F2">
              <w:rPr>
                <w:rFonts w:ascii="Arial" w:eastAsia="Calibri" w:hAnsi="Arial"/>
                <w:color w:val="595959"/>
                <w:sz w:val="20"/>
                <w:szCs w:val="20"/>
              </w:rPr>
              <w:t xml:space="preserve">: Percentage change in activities of </w:t>
            </w:r>
            <w:r w:rsidR="005B0C9F">
              <w:rPr>
                <w:rFonts w:ascii="Arial" w:eastAsia="Calibri" w:hAnsi="Arial"/>
                <w:color w:val="595959"/>
                <w:sz w:val="20"/>
                <w:szCs w:val="20"/>
              </w:rPr>
              <w:t>the ‘H</w:t>
            </w:r>
            <w:r w:rsidRPr="000432F2">
              <w:rPr>
                <w:rFonts w:ascii="Arial" w:eastAsia="Calibri" w:hAnsi="Arial"/>
                <w:color w:val="595959"/>
                <w:sz w:val="20"/>
                <w:szCs w:val="20"/>
              </w:rPr>
              <w:t>ousehold</w:t>
            </w:r>
            <w:r w:rsidR="005B0C9F">
              <w:rPr>
                <w:rFonts w:ascii="Arial" w:eastAsia="Calibri" w:hAnsi="Arial"/>
                <w:color w:val="595959"/>
                <w:sz w:val="20"/>
                <w:szCs w:val="20"/>
              </w:rPr>
              <w:t>’ sector</w:t>
            </w:r>
            <w:r w:rsidRPr="000432F2">
              <w:rPr>
                <w:rFonts w:ascii="Arial" w:eastAsia="Calibri" w:hAnsi="Arial"/>
                <w:color w:val="595959"/>
                <w:sz w:val="20"/>
                <w:szCs w:val="20"/>
              </w:rPr>
              <w:t xml:space="preserve"> at constant 2007</w:t>
            </w:r>
            <w:r w:rsidR="005B0C9F">
              <w:rPr>
                <w:rFonts w:ascii="Arial" w:eastAsia="Calibri" w:hAnsi="Arial"/>
                <w:color w:val="595959"/>
                <w:sz w:val="20"/>
                <w:szCs w:val="20"/>
              </w:rPr>
              <w:t xml:space="preserve"> </w:t>
            </w:r>
            <w:r w:rsidRPr="000432F2">
              <w:rPr>
                <w:rFonts w:ascii="Arial" w:eastAsia="Calibri" w:hAnsi="Arial"/>
                <w:color w:val="595959"/>
                <w:sz w:val="20"/>
                <w:szCs w:val="20"/>
              </w:rPr>
              <w:t>prices</w:t>
            </w:r>
            <w:r w:rsidR="00766298">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w:t>
            </w:r>
            <w:r>
              <w:rPr>
                <w:rFonts w:ascii="Arial" w:eastAsia="Calibri" w:hAnsi="Arial"/>
                <w:color w:val="595959"/>
                <w:sz w:val="20"/>
                <w:szCs w:val="20"/>
              </w:rPr>
              <w:t>…..…….</w:t>
            </w:r>
            <w:r w:rsidRPr="000432F2">
              <w:rPr>
                <w:rFonts w:ascii="Arial" w:eastAsia="Calibri" w:hAnsi="Arial"/>
                <w:color w:val="595959"/>
                <w:sz w:val="20"/>
                <w:szCs w:val="20"/>
              </w:rPr>
              <w:t>..1</w:t>
            </w:r>
            <w:r>
              <w:rPr>
                <w:rFonts w:ascii="Arial" w:eastAsia="Calibri" w:hAnsi="Arial"/>
                <w:color w:val="595959"/>
                <w:sz w:val="20"/>
                <w:szCs w:val="20"/>
              </w:rPr>
              <w:t>4</w:t>
            </w:r>
          </w:p>
        </w:tc>
      </w:tr>
    </w:tbl>
    <w:p w14:paraId="5F92C327" w14:textId="77777777" w:rsidR="00093603" w:rsidRDefault="00C727AA" w:rsidP="00866311">
      <w:pPr>
        <w:pStyle w:val="EcoHeading1"/>
        <w:ind w:left="0"/>
      </w:pPr>
      <w:r>
        <w:br w:type="page"/>
      </w:r>
      <w:bookmarkStart w:id="4" w:name="_Toc310768994"/>
      <w:bookmarkStart w:id="5" w:name="_Toc317579531"/>
      <w:bookmarkEnd w:id="2"/>
      <w:bookmarkEnd w:id="3"/>
      <w:r w:rsidR="00D3097D" w:rsidRPr="00866311">
        <w:lastRenderedPageBreak/>
        <w:t xml:space="preserve">Introduction </w:t>
      </w:r>
    </w:p>
    <w:p w14:paraId="54B1DB2B" w14:textId="1C5597C5" w:rsidR="00D3097D" w:rsidRPr="00B2550C" w:rsidRDefault="00D3097D" w:rsidP="00866311">
      <w:pPr>
        <w:pStyle w:val="EcoHeading1"/>
        <w:ind w:left="0"/>
        <w:rPr>
          <w:rFonts w:eastAsia="Calibri"/>
        </w:rPr>
      </w:pPr>
      <w:r w:rsidRPr="00866311">
        <w:br/>
      </w:r>
    </w:p>
    <w:p w14:paraId="4631D211" w14:textId="77777777" w:rsidR="00D3097D" w:rsidRPr="00B2550C" w:rsidRDefault="00D3097D" w:rsidP="00D3097D">
      <w:pPr>
        <w:spacing w:line="360" w:lineRule="auto"/>
        <w:jc w:val="both"/>
        <w:rPr>
          <w:rFonts w:ascii="Arial" w:eastAsia="Calibri" w:hAnsi="Arial"/>
          <w:bCs/>
          <w:color w:val="595959"/>
          <w:sz w:val="20"/>
          <w:szCs w:val="20"/>
        </w:rPr>
      </w:pPr>
      <w:r w:rsidRPr="00B2550C">
        <w:rPr>
          <w:rFonts w:ascii="Arial" w:eastAsia="Calibri" w:hAnsi="Arial"/>
          <w:bCs/>
          <w:color w:val="595959"/>
          <w:sz w:val="20"/>
          <w:szCs w:val="20"/>
        </w:rPr>
        <w:t xml:space="preserve">This publication includes estimates of the quarterly Gross Domestic Product (GDP) at both current and constant prices for the Emirate of Abu Dhabi. </w:t>
      </w:r>
    </w:p>
    <w:p w14:paraId="0054C107" w14:textId="6707F3B5" w:rsidR="00D3097D" w:rsidRPr="00EC3F52" w:rsidRDefault="00D3097D" w:rsidP="002E6BC1">
      <w:pPr>
        <w:spacing w:line="360" w:lineRule="auto"/>
        <w:jc w:val="both"/>
        <w:rPr>
          <w:rFonts w:ascii="Arial" w:eastAsia="Calibri" w:hAnsi="Arial"/>
          <w:bCs/>
          <w:color w:val="595959"/>
          <w:sz w:val="20"/>
          <w:szCs w:val="20"/>
        </w:rPr>
      </w:pPr>
      <w:r w:rsidRPr="00B2550C">
        <w:rPr>
          <w:rFonts w:ascii="Arial" w:eastAsia="Calibri" w:hAnsi="Arial"/>
          <w:bCs/>
          <w:color w:val="595959"/>
          <w:sz w:val="20"/>
          <w:szCs w:val="20"/>
        </w:rPr>
        <w:t xml:space="preserve">The quarterly GDP estimates in this publication are by sectors </w:t>
      </w:r>
      <w:r w:rsidRPr="00395D3A">
        <w:rPr>
          <w:rFonts w:ascii="Arial" w:eastAsia="Calibri" w:hAnsi="Arial"/>
          <w:bCs/>
          <w:color w:val="595959"/>
          <w:sz w:val="20"/>
          <w:szCs w:val="20"/>
        </w:rPr>
        <w:t>and components</w:t>
      </w:r>
      <w:r w:rsidRPr="00B2550C">
        <w:rPr>
          <w:rFonts w:ascii="Arial" w:eastAsia="Calibri" w:hAnsi="Arial"/>
          <w:bCs/>
          <w:color w:val="595959"/>
          <w:sz w:val="20"/>
          <w:szCs w:val="20"/>
        </w:rPr>
        <w:t>,</w:t>
      </w:r>
      <w:r w:rsidR="00AC4265">
        <w:rPr>
          <w:rFonts w:ascii="Arial" w:eastAsia="Calibri" w:hAnsi="Arial"/>
          <w:bCs/>
          <w:color w:val="595959"/>
          <w:sz w:val="20"/>
          <w:szCs w:val="20"/>
        </w:rPr>
        <w:t xml:space="preserve"> including oil and non-oil sectors,</w:t>
      </w:r>
      <w:r w:rsidRPr="00B2550C">
        <w:rPr>
          <w:rFonts w:ascii="Arial" w:eastAsia="Calibri" w:hAnsi="Arial"/>
          <w:bCs/>
          <w:color w:val="595959"/>
          <w:sz w:val="20"/>
          <w:szCs w:val="20"/>
        </w:rPr>
        <w:t xml:space="preserve"> and will be available </w:t>
      </w:r>
      <w:r w:rsidRPr="00EC3F52">
        <w:rPr>
          <w:rFonts w:ascii="Arial" w:eastAsia="Calibri" w:hAnsi="Arial"/>
          <w:bCs/>
          <w:color w:val="595959"/>
          <w:sz w:val="20"/>
          <w:szCs w:val="20"/>
        </w:rPr>
        <w:t>as per the economic activities in revision 4 of the International Standard</w:t>
      </w:r>
      <w:r w:rsidR="00EB1B0D">
        <w:rPr>
          <w:rFonts w:ascii="Arial" w:eastAsia="Calibri" w:hAnsi="Arial"/>
          <w:bCs/>
          <w:color w:val="595959"/>
          <w:sz w:val="20"/>
          <w:szCs w:val="20"/>
        </w:rPr>
        <w:t xml:space="preserve"> Industrial Classification </w:t>
      </w:r>
      <w:r w:rsidRPr="00C46A01">
        <w:rPr>
          <w:rFonts w:ascii="Arial" w:eastAsia="Calibri" w:hAnsi="Arial"/>
          <w:bCs/>
          <w:color w:val="595959"/>
          <w:sz w:val="20"/>
          <w:szCs w:val="20"/>
        </w:rPr>
        <w:t>(</w:t>
      </w:r>
      <w:r w:rsidRPr="00EC3F52">
        <w:rPr>
          <w:rFonts w:ascii="Arial" w:eastAsia="Calibri" w:hAnsi="Arial"/>
          <w:bCs/>
          <w:color w:val="595959"/>
          <w:sz w:val="20"/>
          <w:szCs w:val="20"/>
        </w:rPr>
        <w:t>ISIC 4) in the future.</w:t>
      </w:r>
    </w:p>
    <w:p w14:paraId="4E7DDDC4" w14:textId="07FA4E7D" w:rsidR="00D3097D" w:rsidRPr="00EC3F52" w:rsidRDefault="00D3097D" w:rsidP="00C8052B">
      <w:pPr>
        <w:spacing w:line="360" w:lineRule="auto"/>
        <w:jc w:val="both"/>
        <w:rPr>
          <w:rFonts w:ascii="Arial" w:eastAsia="Calibri" w:hAnsi="Arial"/>
          <w:bCs/>
          <w:color w:val="595959"/>
          <w:sz w:val="20"/>
          <w:szCs w:val="20"/>
        </w:rPr>
      </w:pPr>
      <w:r w:rsidRPr="00EC3F52">
        <w:rPr>
          <w:rFonts w:ascii="Arial" w:eastAsia="Calibri" w:hAnsi="Arial"/>
          <w:bCs/>
          <w:color w:val="595959"/>
          <w:sz w:val="20"/>
          <w:szCs w:val="20"/>
        </w:rPr>
        <w:t xml:space="preserve">The quarterly GDP estimates are characterized by its need for seasonal adjustments and benchmarking against the final annual GDP results. </w:t>
      </w:r>
      <w:r w:rsidR="00E23DE0" w:rsidRPr="007B008E">
        <w:rPr>
          <w:rFonts w:ascii="Arial" w:eastAsia="Calibri" w:hAnsi="Arial"/>
          <w:bCs/>
          <w:color w:val="595959"/>
          <w:sz w:val="20"/>
          <w:szCs w:val="20"/>
        </w:rPr>
        <w:t>In this publication, data that are affected by seasonal factors are adjusted to remove the effects of these factors.</w:t>
      </w:r>
      <w:r w:rsidR="00E23DE0" w:rsidRPr="007B008E">
        <w:t xml:space="preserve"> </w:t>
      </w:r>
      <w:r w:rsidR="00C8052B" w:rsidRPr="007B008E">
        <w:rPr>
          <w:rFonts w:ascii="Arial" w:eastAsia="Calibri" w:hAnsi="Arial"/>
          <w:bCs/>
          <w:color w:val="595959"/>
          <w:sz w:val="20"/>
          <w:szCs w:val="20"/>
        </w:rPr>
        <w:t>These</w:t>
      </w:r>
      <w:r w:rsidRPr="007B008E">
        <w:rPr>
          <w:rFonts w:ascii="Arial" w:eastAsia="Calibri" w:hAnsi="Arial"/>
          <w:bCs/>
          <w:color w:val="595959"/>
          <w:sz w:val="20"/>
          <w:szCs w:val="20"/>
        </w:rPr>
        <w:t xml:space="preserve"> </w:t>
      </w:r>
      <w:r w:rsidR="00C8052B" w:rsidRPr="007B008E">
        <w:rPr>
          <w:rFonts w:ascii="Arial" w:eastAsia="Calibri" w:hAnsi="Arial"/>
          <w:bCs/>
          <w:color w:val="595959"/>
          <w:sz w:val="20"/>
          <w:szCs w:val="20"/>
        </w:rPr>
        <w:t>statistics</w:t>
      </w:r>
      <w:r w:rsidRPr="00EC3F52">
        <w:rPr>
          <w:rFonts w:ascii="Arial" w:eastAsia="Calibri" w:hAnsi="Arial"/>
          <w:bCs/>
          <w:color w:val="595959"/>
          <w:sz w:val="20"/>
          <w:szCs w:val="20"/>
        </w:rPr>
        <w:t xml:space="preserve"> will remain preliminary estimates and </w:t>
      </w:r>
      <w:r w:rsidRPr="00745AB9">
        <w:rPr>
          <w:rFonts w:ascii="Arial" w:eastAsia="Calibri" w:hAnsi="Arial"/>
          <w:bCs/>
          <w:color w:val="595959"/>
          <w:sz w:val="20"/>
          <w:szCs w:val="20"/>
        </w:rPr>
        <w:t>aggregates until the quarterly series is benchmarked against the final annual GDP and seasonally adjusted.</w:t>
      </w:r>
      <w:r w:rsidR="00A61552" w:rsidRPr="00745AB9">
        <w:rPr>
          <w:rFonts w:ascii="Arial" w:eastAsia="Calibri" w:hAnsi="Arial"/>
          <w:bCs/>
          <w:color w:val="595959"/>
          <w:sz w:val="20"/>
          <w:szCs w:val="20"/>
        </w:rPr>
        <w:t xml:space="preserve"> Quarterly GDP statistics in this publication were benchmarked against the final annual GDP estima</w:t>
      </w:r>
      <w:r w:rsidR="00045ABA">
        <w:rPr>
          <w:rFonts w:ascii="Arial" w:eastAsia="Calibri" w:hAnsi="Arial"/>
          <w:bCs/>
          <w:color w:val="595959"/>
          <w:sz w:val="20"/>
          <w:szCs w:val="20"/>
        </w:rPr>
        <w:t xml:space="preserve">tes for the </w:t>
      </w:r>
      <w:r w:rsidR="00A71A48">
        <w:rPr>
          <w:rFonts w:ascii="Arial" w:eastAsia="Calibri" w:hAnsi="Arial"/>
          <w:bCs/>
          <w:color w:val="595959"/>
          <w:sz w:val="20"/>
          <w:szCs w:val="20"/>
        </w:rPr>
        <w:t>2018</w:t>
      </w:r>
      <w:r w:rsidR="00045ABA">
        <w:rPr>
          <w:rFonts w:ascii="Arial" w:eastAsia="Calibri" w:hAnsi="Arial"/>
          <w:bCs/>
          <w:color w:val="595959"/>
          <w:sz w:val="20"/>
          <w:szCs w:val="20"/>
        </w:rPr>
        <w:t xml:space="preserve"> reference year, and the preliminary annual GDP estimates for the </w:t>
      </w:r>
      <w:r w:rsidR="00A71A48">
        <w:rPr>
          <w:rFonts w:ascii="Arial" w:eastAsia="Calibri" w:hAnsi="Arial"/>
          <w:bCs/>
          <w:color w:val="595959"/>
          <w:sz w:val="20"/>
          <w:szCs w:val="20"/>
        </w:rPr>
        <w:t>2019</w:t>
      </w:r>
      <w:r w:rsidR="00045ABA">
        <w:rPr>
          <w:rFonts w:ascii="Arial" w:eastAsia="Calibri" w:hAnsi="Arial"/>
          <w:bCs/>
          <w:color w:val="595959"/>
          <w:sz w:val="20"/>
          <w:szCs w:val="20"/>
        </w:rPr>
        <w:t xml:space="preserve"> reference year.</w:t>
      </w:r>
    </w:p>
    <w:p w14:paraId="4DB19932" w14:textId="77777777" w:rsidR="00D3097D" w:rsidRPr="00B2550C" w:rsidRDefault="00D3097D" w:rsidP="00D3097D">
      <w:pPr>
        <w:autoSpaceDE w:val="0"/>
        <w:autoSpaceDN w:val="0"/>
        <w:adjustRightInd w:val="0"/>
        <w:spacing w:after="0" w:line="360" w:lineRule="auto"/>
        <w:jc w:val="both"/>
        <w:rPr>
          <w:rFonts w:ascii="Arial" w:eastAsia="Calibri" w:hAnsi="Arial"/>
          <w:bCs/>
          <w:color w:val="595959"/>
          <w:sz w:val="20"/>
          <w:szCs w:val="20"/>
        </w:rPr>
      </w:pPr>
      <w:r>
        <w:rPr>
          <w:rFonts w:ascii="Arial" w:eastAsia="Calibri" w:hAnsi="Arial"/>
          <w:bCs/>
          <w:color w:val="595959"/>
          <w:sz w:val="20"/>
          <w:szCs w:val="20"/>
        </w:rPr>
        <w:t xml:space="preserve">Quarterly </w:t>
      </w:r>
      <w:r w:rsidRPr="00EC3F52">
        <w:rPr>
          <w:rFonts w:ascii="Arial" w:eastAsia="Calibri" w:hAnsi="Arial"/>
          <w:bCs/>
          <w:color w:val="595959"/>
          <w:sz w:val="20"/>
          <w:szCs w:val="20"/>
        </w:rPr>
        <w:t xml:space="preserve">GDP at current prices measures the </w:t>
      </w:r>
      <w:r>
        <w:rPr>
          <w:rFonts w:ascii="Arial" w:eastAsia="Calibri" w:hAnsi="Arial"/>
          <w:bCs/>
          <w:color w:val="595959"/>
          <w:sz w:val="20"/>
          <w:szCs w:val="20"/>
        </w:rPr>
        <w:t>value</w:t>
      </w:r>
      <w:r w:rsidRPr="00EC3F52">
        <w:rPr>
          <w:rFonts w:ascii="Arial" w:eastAsia="Calibri" w:hAnsi="Arial"/>
          <w:bCs/>
          <w:color w:val="595959"/>
          <w:sz w:val="20"/>
          <w:szCs w:val="20"/>
        </w:rPr>
        <w:t xml:space="preserve"> </w:t>
      </w:r>
      <w:r>
        <w:rPr>
          <w:rFonts w:ascii="Arial" w:eastAsia="Calibri" w:hAnsi="Arial"/>
          <w:bCs/>
          <w:color w:val="595959"/>
          <w:sz w:val="20"/>
          <w:szCs w:val="20"/>
        </w:rPr>
        <w:t>of</w:t>
      </w:r>
      <w:r w:rsidRPr="00EC3F52">
        <w:rPr>
          <w:rFonts w:ascii="Arial" w:eastAsia="Calibri" w:hAnsi="Arial"/>
          <w:bCs/>
          <w:color w:val="595959"/>
          <w:sz w:val="20"/>
          <w:szCs w:val="20"/>
        </w:rPr>
        <w:t xml:space="preserve"> products and services produced by the economy during a given quarter after deducting the intermediate goods and services consumed as inputs in the production processes. GDP at current prices consists of two components, a price and a volume (or quantity). For a specified period, the price reflects the</w:t>
      </w:r>
      <w:r w:rsidRPr="00B2550C">
        <w:rPr>
          <w:rFonts w:ascii="Arial" w:eastAsia="Calibri" w:hAnsi="Arial"/>
          <w:bCs/>
          <w:color w:val="595959"/>
          <w:sz w:val="20"/>
          <w:szCs w:val="20"/>
        </w:rPr>
        <w:t xml:space="preserve"> prices for good</w:t>
      </w:r>
      <w:r>
        <w:rPr>
          <w:rFonts w:ascii="Arial" w:eastAsia="Calibri" w:hAnsi="Arial"/>
          <w:bCs/>
          <w:color w:val="595959"/>
          <w:sz w:val="20"/>
          <w:szCs w:val="20"/>
        </w:rPr>
        <w:t>s</w:t>
      </w:r>
      <w:r w:rsidRPr="00B2550C">
        <w:rPr>
          <w:rFonts w:ascii="Arial" w:eastAsia="Calibri" w:hAnsi="Arial"/>
          <w:bCs/>
          <w:color w:val="595959"/>
          <w:sz w:val="20"/>
          <w:szCs w:val="20"/>
        </w:rPr>
        <w:t xml:space="preserve"> and service produced while the volume reflects the quantity </w:t>
      </w:r>
      <w:r>
        <w:rPr>
          <w:rFonts w:ascii="Arial" w:eastAsia="Calibri" w:hAnsi="Arial"/>
          <w:bCs/>
          <w:color w:val="595959"/>
          <w:sz w:val="20"/>
          <w:szCs w:val="20"/>
        </w:rPr>
        <w:t>of</w:t>
      </w:r>
      <w:r w:rsidRPr="00B2550C">
        <w:rPr>
          <w:rFonts w:ascii="Arial" w:eastAsia="Calibri" w:hAnsi="Arial"/>
          <w:bCs/>
          <w:color w:val="595959"/>
          <w:sz w:val="20"/>
          <w:szCs w:val="20"/>
        </w:rPr>
        <w:t xml:space="preserve"> the goods and services produced.</w:t>
      </w:r>
    </w:p>
    <w:p w14:paraId="314EF818" w14:textId="77777777" w:rsidR="00D3097D" w:rsidRPr="00B2550C" w:rsidRDefault="00D3097D" w:rsidP="00D3097D">
      <w:pPr>
        <w:autoSpaceDE w:val="0"/>
        <w:autoSpaceDN w:val="0"/>
        <w:adjustRightInd w:val="0"/>
        <w:spacing w:after="0" w:line="360" w:lineRule="auto"/>
        <w:jc w:val="both"/>
        <w:rPr>
          <w:rFonts w:ascii="Arial" w:eastAsia="Calibri" w:hAnsi="Arial"/>
          <w:bCs/>
          <w:color w:val="595959"/>
          <w:sz w:val="20"/>
          <w:szCs w:val="20"/>
        </w:rPr>
      </w:pPr>
    </w:p>
    <w:p w14:paraId="3D907DE5" w14:textId="001C201F" w:rsidR="00D3097D" w:rsidRPr="00B2550C" w:rsidRDefault="00D3097D" w:rsidP="00403980">
      <w:pPr>
        <w:autoSpaceDE w:val="0"/>
        <w:autoSpaceDN w:val="0"/>
        <w:adjustRightInd w:val="0"/>
        <w:spacing w:after="0" w:line="360" w:lineRule="auto"/>
        <w:jc w:val="both"/>
        <w:rPr>
          <w:rFonts w:ascii="Arial" w:eastAsia="Calibri" w:hAnsi="Arial"/>
          <w:bCs/>
          <w:color w:val="595959"/>
          <w:sz w:val="20"/>
          <w:szCs w:val="20"/>
        </w:rPr>
      </w:pPr>
      <w:r w:rsidRPr="00B2550C">
        <w:rPr>
          <w:rFonts w:ascii="Arial" w:eastAsia="Calibri" w:hAnsi="Arial"/>
          <w:bCs/>
          <w:color w:val="595959"/>
          <w:sz w:val="20"/>
          <w:szCs w:val="20"/>
        </w:rPr>
        <w:t>GDP estimates at constant prices remove the effect of price changes, and thus reflect the actual change in the economy</w:t>
      </w:r>
      <w:r w:rsidRPr="008B41C6">
        <w:rPr>
          <w:rFonts w:ascii="Arial" w:eastAsia="Calibri" w:hAnsi="Arial"/>
          <w:bCs/>
          <w:color w:val="595959"/>
          <w:sz w:val="20"/>
          <w:szCs w:val="20"/>
        </w:rPr>
        <w:t>.</w:t>
      </w:r>
      <w:r w:rsidR="00AC4265" w:rsidRPr="008B41C6">
        <w:rPr>
          <w:rFonts w:ascii="Arial" w:eastAsia="Calibri" w:hAnsi="Arial"/>
          <w:bCs/>
          <w:color w:val="595959"/>
          <w:sz w:val="20"/>
          <w:szCs w:val="20"/>
        </w:rPr>
        <w:t xml:space="preserve"> Quarterly GDP was calculated and compared </w:t>
      </w:r>
      <w:r w:rsidR="00403980">
        <w:rPr>
          <w:rFonts w:ascii="Arial" w:eastAsia="Calibri" w:hAnsi="Arial"/>
          <w:bCs/>
          <w:color w:val="595959"/>
          <w:sz w:val="20"/>
          <w:szCs w:val="20"/>
        </w:rPr>
        <w:t xml:space="preserve">with </w:t>
      </w:r>
      <w:r w:rsidR="00AC4265" w:rsidRPr="008B41C6">
        <w:rPr>
          <w:rFonts w:ascii="Arial" w:eastAsia="Calibri" w:hAnsi="Arial"/>
          <w:bCs/>
          <w:color w:val="595959"/>
          <w:sz w:val="20"/>
          <w:szCs w:val="20"/>
        </w:rPr>
        <w:t xml:space="preserve">the total </w:t>
      </w:r>
      <w:r w:rsidR="0077464C" w:rsidRPr="008B41C6">
        <w:rPr>
          <w:rFonts w:ascii="Arial" w:eastAsia="Calibri" w:hAnsi="Arial"/>
          <w:bCs/>
          <w:color w:val="595959"/>
          <w:sz w:val="20"/>
          <w:szCs w:val="20"/>
        </w:rPr>
        <w:t xml:space="preserve">annual </w:t>
      </w:r>
      <w:r w:rsidR="00AC4265" w:rsidRPr="008B41C6">
        <w:rPr>
          <w:rFonts w:ascii="Arial" w:eastAsia="Calibri" w:hAnsi="Arial"/>
          <w:bCs/>
          <w:color w:val="595959"/>
          <w:sz w:val="20"/>
          <w:szCs w:val="20"/>
        </w:rPr>
        <w:t>value added from the first quarter of 2012</w:t>
      </w:r>
      <w:r w:rsidR="00AC4265">
        <w:rPr>
          <w:rFonts w:ascii="Arial" w:eastAsia="Calibri" w:hAnsi="Arial"/>
          <w:bCs/>
          <w:color w:val="595959"/>
          <w:sz w:val="20"/>
          <w:szCs w:val="20"/>
        </w:rPr>
        <w:t xml:space="preserve">. </w:t>
      </w:r>
      <w:r w:rsidRPr="00B2550C">
        <w:rPr>
          <w:rFonts w:ascii="Arial" w:eastAsia="Calibri" w:hAnsi="Arial"/>
          <w:bCs/>
          <w:color w:val="595959"/>
          <w:sz w:val="20"/>
          <w:szCs w:val="20"/>
        </w:rPr>
        <w:t>It is a measure of the quantity of goods and services produced for that same period.</w:t>
      </w:r>
    </w:p>
    <w:p w14:paraId="6B3A977A" w14:textId="77777777" w:rsidR="00D3097D" w:rsidRPr="00B2550C" w:rsidRDefault="00D3097D" w:rsidP="00D3097D">
      <w:pPr>
        <w:autoSpaceDE w:val="0"/>
        <w:autoSpaceDN w:val="0"/>
        <w:adjustRightInd w:val="0"/>
        <w:spacing w:after="0" w:line="360" w:lineRule="auto"/>
        <w:jc w:val="both"/>
        <w:rPr>
          <w:rFonts w:ascii="Arial" w:eastAsia="Calibri" w:hAnsi="Arial"/>
          <w:bCs/>
          <w:color w:val="595959"/>
          <w:sz w:val="20"/>
          <w:szCs w:val="20"/>
        </w:rPr>
      </w:pPr>
    </w:p>
    <w:p w14:paraId="41D202A1" w14:textId="1ABE4C95" w:rsidR="00D3097D" w:rsidRPr="00B2550C" w:rsidRDefault="00D3097D" w:rsidP="008B41C6">
      <w:pPr>
        <w:autoSpaceDE w:val="0"/>
        <w:autoSpaceDN w:val="0"/>
        <w:adjustRightInd w:val="0"/>
        <w:spacing w:after="0" w:line="360" w:lineRule="auto"/>
        <w:jc w:val="both"/>
        <w:rPr>
          <w:rFonts w:ascii="Arial" w:eastAsia="Calibri" w:hAnsi="Arial"/>
          <w:bCs/>
          <w:color w:val="595959"/>
          <w:sz w:val="20"/>
          <w:szCs w:val="20"/>
        </w:rPr>
      </w:pPr>
      <w:r w:rsidRPr="00B2550C">
        <w:rPr>
          <w:rFonts w:ascii="Arial" w:eastAsia="Calibri" w:hAnsi="Arial"/>
          <w:bCs/>
          <w:color w:val="595959"/>
          <w:sz w:val="20"/>
          <w:szCs w:val="20"/>
        </w:rPr>
        <w:t>The statistical indicators in this publication are based on the results of the Quarterly Economic Survey and on data collected from various administrative sources. Quarterly percentage movements were calculated from the</w:t>
      </w:r>
      <w:r w:rsidR="008B41C6">
        <w:rPr>
          <w:rFonts w:ascii="Arial" w:eastAsia="Calibri" w:hAnsi="Arial"/>
          <w:bCs/>
          <w:color w:val="595959"/>
          <w:sz w:val="20"/>
          <w:szCs w:val="20"/>
        </w:rPr>
        <w:t xml:space="preserve"> quarterly</w:t>
      </w:r>
      <w:r w:rsidRPr="00B2550C">
        <w:rPr>
          <w:rFonts w:ascii="Arial" w:eastAsia="Calibri" w:hAnsi="Arial"/>
          <w:bCs/>
          <w:color w:val="595959"/>
          <w:sz w:val="20"/>
          <w:szCs w:val="20"/>
        </w:rPr>
        <w:t xml:space="preserve"> survey data and indicators derived from administrative data. </w:t>
      </w:r>
    </w:p>
    <w:p w14:paraId="30BBB620" w14:textId="77777777" w:rsidR="00D3097D" w:rsidRPr="00B2550C" w:rsidRDefault="00D3097D" w:rsidP="00D3097D">
      <w:pPr>
        <w:autoSpaceDE w:val="0"/>
        <w:autoSpaceDN w:val="0"/>
        <w:adjustRightInd w:val="0"/>
        <w:spacing w:after="0" w:line="360" w:lineRule="auto"/>
        <w:jc w:val="both"/>
        <w:rPr>
          <w:rFonts w:ascii="Arial" w:eastAsia="Calibri" w:hAnsi="Arial"/>
          <w:bCs/>
          <w:color w:val="595959"/>
          <w:sz w:val="20"/>
          <w:szCs w:val="20"/>
        </w:rPr>
      </w:pPr>
    </w:p>
    <w:p w14:paraId="2C46C916" w14:textId="77777777" w:rsidR="00D3097D" w:rsidRPr="00B2550C" w:rsidRDefault="00D3097D" w:rsidP="00D3097D">
      <w:pPr>
        <w:autoSpaceDE w:val="0"/>
        <w:autoSpaceDN w:val="0"/>
        <w:adjustRightInd w:val="0"/>
        <w:spacing w:after="0" w:line="360" w:lineRule="auto"/>
        <w:jc w:val="both"/>
        <w:rPr>
          <w:rFonts w:ascii="Arial" w:eastAsia="Calibri" w:hAnsi="Arial"/>
          <w:bCs/>
          <w:color w:val="595959"/>
          <w:sz w:val="20"/>
          <w:szCs w:val="20"/>
        </w:rPr>
      </w:pPr>
      <w:r w:rsidRPr="00B2550C">
        <w:rPr>
          <w:rFonts w:ascii="Arial" w:eastAsia="Calibri" w:hAnsi="Arial"/>
          <w:bCs/>
          <w:color w:val="595959"/>
          <w:sz w:val="20"/>
          <w:szCs w:val="20"/>
        </w:rPr>
        <w:t>The Explanatory Notes section at the end of this publication defines the key terms and technical concepts used in the compilation of the quarterly GDP estimates. Readers are encouraged to refer to that section while reading the statistics and information outlined in the publication.</w:t>
      </w:r>
    </w:p>
    <w:p w14:paraId="4F1CE61B" w14:textId="77777777" w:rsidR="00D3097D" w:rsidRPr="00B2550C" w:rsidRDefault="00D3097D" w:rsidP="00D3097D">
      <w:pPr>
        <w:autoSpaceDE w:val="0"/>
        <w:autoSpaceDN w:val="0"/>
        <w:adjustRightInd w:val="0"/>
        <w:spacing w:after="0" w:line="240" w:lineRule="auto"/>
        <w:rPr>
          <w:rFonts w:ascii="Arial" w:eastAsia="Calibri" w:hAnsi="Arial"/>
          <w:bCs/>
          <w:color w:val="595959"/>
          <w:sz w:val="20"/>
          <w:szCs w:val="20"/>
        </w:rPr>
      </w:pPr>
    </w:p>
    <w:p w14:paraId="1A27AF68" w14:textId="77777777" w:rsidR="00D3097D" w:rsidRDefault="00D3097D" w:rsidP="00D3097D">
      <w:pPr>
        <w:autoSpaceDE w:val="0"/>
        <w:autoSpaceDN w:val="0"/>
        <w:adjustRightInd w:val="0"/>
        <w:spacing w:after="0" w:line="240" w:lineRule="auto"/>
        <w:rPr>
          <w:rFonts w:ascii="Arial" w:eastAsia="Calibri" w:hAnsi="Arial"/>
          <w:bCs/>
          <w:color w:val="595959"/>
          <w:sz w:val="20"/>
          <w:szCs w:val="20"/>
        </w:rPr>
      </w:pPr>
    </w:p>
    <w:p w14:paraId="7F80E58B" w14:textId="77777777" w:rsidR="00D3097D" w:rsidRDefault="00D3097D" w:rsidP="00D3097D">
      <w:pPr>
        <w:autoSpaceDE w:val="0"/>
        <w:autoSpaceDN w:val="0"/>
        <w:adjustRightInd w:val="0"/>
        <w:spacing w:after="0" w:line="240" w:lineRule="auto"/>
        <w:rPr>
          <w:rFonts w:ascii="Arial" w:eastAsia="Calibri" w:hAnsi="Arial"/>
          <w:bCs/>
          <w:color w:val="595959"/>
          <w:sz w:val="20"/>
          <w:szCs w:val="20"/>
        </w:rPr>
      </w:pPr>
    </w:p>
    <w:p w14:paraId="0EF3119E" w14:textId="77777777" w:rsidR="00D3097D" w:rsidRDefault="00D3097D" w:rsidP="00D3097D">
      <w:pPr>
        <w:autoSpaceDE w:val="0"/>
        <w:autoSpaceDN w:val="0"/>
        <w:adjustRightInd w:val="0"/>
        <w:spacing w:after="0" w:line="240" w:lineRule="auto"/>
        <w:rPr>
          <w:rFonts w:ascii="Arial" w:eastAsia="Calibri" w:hAnsi="Arial"/>
          <w:bCs/>
          <w:color w:val="595959"/>
          <w:sz w:val="20"/>
          <w:szCs w:val="20"/>
        </w:rPr>
      </w:pPr>
    </w:p>
    <w:p w14:paraId="1DF7814A" w14:textId="77777777" w:rsidR="00D3097D" w:rsidRPr="00B2550C" w:rsidRDefault="00D3097D" w:rsidP="00D3097D">
      <w:pPr>
        <w:autoSpaceDE w:val="0"/>
        <w:autoSpaceDN w:val="0"/>
        <w:adjustRightInd w:val="0"/>
        <w:spacing w:after="0" w:line="240" w:lineRule="auto"/>
        <w:rPr>
          <w:rFonts w:ascii="Arial" w:eastAsia="Calibri" w:hAnsi="Arial"/>
          <w:bCs/>
          <w:color w:val="595959"/>
          <w:sz w:val="20"/>
          <w:szCs w:val="20"/>
        </w:rPr>
      </w:pPr>
    </w:p>
    <w:p w14:paraId="3B27B1C6" w14:textId="77777777" w:rsidR="00D3097D" w:rsidRPr="00B2550C" w:rsidRDefault="00D3097D" w:rsidP="00D3097D">
      <w:pPr>
        <w:autoSpaceDE w:val="0"/>
        <w:autoSpaceDN w:val="0"/>
        <w:adjustRightInd w:val="0"/>
        <w:spacing w:after="0" w:line="240" w:lineRule="auto"/>
        <w:rPr>
          <w:rFonts w:ascii="Arial" w:eastAsia="Calibri" w:hAnsi="Arial"/>
          <w:bCs/>
          <w:color w:val="595959"/>
          <w:sz w:val="20"/>
          <w:szCs w:val="20"/>
        </w:rPr>
      </w:pPr>
    </w:p>
    <w:p w14:paraId="7CDBD41D" w14:textId="77777777" w:rsidR="00D3097D" w:rsidRDefault="00D3097D" w:rsidP="00D3097D">
      <w:pPr>
        <w:autoSpaceDE w:val="0"/>
        <w:autoSpaceDN w:val="0"/>
        <w:adjustRightInd w:val="0"/>
        <w:spacing w:after="0" w:line="240" w:lineRule="auto"/>
        <w:rPr>
          <w:rFonts w:ascii="Arial" w:eastAsia="Calibri" w:hAnsi="Arial"/>
          <w:bCs/>
          <w:color w:val="595959"/>
          <w:sz w:val="20"/>
          <w:szCs w:val="20"/>
        </w:rPr>
      </w:pPr>
    </w:p>
    <w:p w14:paraId="18655EEA" w14:textId="77777777" w:rsidR="00D3097D" w:rsidRDefault="00D3097D" w:rsidP="00D3097D">
      <w:pPr>
        <w:autoSpaceDE w:val="0"/>
        <w:autoSpaceDN w:val="0"/>
        <w:adjustRightInd w:val="0"/>
        <w:spacing w:after="0" w:line="240" w:lineRule="auto"/>
        <w:rPr>
          <w:rFonts w:ascii="Arial" w:eastAsia="Calibri" w:hAnsi="Arial"/>
          <w:bCs/>
          <w:color w:val="595959"/>
          <w:sz w:val="20"/>
          <w:szCs w:val="20"/>
        </w:rPr>
      </w:pPr>
    </w:p>
    <w:p w14:paraId="03F6EC96" w14:textId="77777777" w:rsidR="00D3097D" w:rsidRPr="00B2550C" w:rsidRDefault="00D3097D" w:rsidP="00D3097D">
      <w:pPr>
        <w:autoSpaceDE w:val="0"/>
        <w:autoSpaceDN w:val="0"/>
        <w:adjustRightInd w:val="0"/>
        <w:spacing w:after="0" w:line="240" w:lineRule="auto"/>
        <w:rPr>
          <w:rFonts w:ascii="Arial" w:eastAsia="Calibri" w:hAnsi="Arial"/>
          <w:bCs/>
          <w:color w:val="595959"/>
          <w:sz w:val="20"/>
          <w:szCs w:val="20"/>
        </w:rPr>
      </w:pPr>
    </w:p>
    <w:p w14:paraId="2C07C92C" w14:textId="77777777" w:rsidR="00D3097D" w:rsidRDefault="00D3097D" w:rsidP="00D3097D">
      <w:pPr>
        <w:spacing w:after="0" w:line="240" w:lineRule="auto"/>
        <w:rPr>
          <w:rFonts w:ascii="Arial" w:eastAsia="Calibri" w:hAnsi="Arial"/>
          <w:b/>
          <w:bCs/>
          <w:color w:val="AA9F8A"/>
          <w:sz w:val="28"/>
          <w:szCs w:val="28"/>
        </w:rPr>
      </w:pPr>
      <w:r>
        <w:rPr>
          <w:rFonts w:ascii="Arial" w:eastAsia="Calibri" w:hAnsi="Arial"/>
          <w:b/>
          <w:bCs/>
          <w:color w:val="AA9F8A"/>
          <w:sz w:val="28"/>
          <w:szCs w:val="28"/>
        </w:rPr>
        <w:br w:type="page"/>
      </w:r>
    </w:p>
    <w:p w14:paraId="41BD75B3" w14:textId="77777777" w:rsidR="00D3097D" w:rsidRPr="00866311" w:rsidRDefault="00D3097D" w:rsidP="00866311">
      <w:pPr>
        <w:pStyle w:val="EcoHeading1"/>
        <w:ind w:left="0"/>
      </w:pPr>
      <w:r w:rsidRPr="00866311">
        <w:lastRenderedPageBreak/>
        <w:t xml:space="preserve">Key Economic Developments </w:t>
      </w:r>
      <w:bookmarkStart w:id="6" w:name="_GoBack"/>
      <w:bookmarkEnd w:id="6"/>
    </w:p>
    <w:p w14:paraId="1C593044" w14:textId="77777777" w:rsidR="00D3097D" w:rsidRDefault="00D3097D" w:rsidP="00D3097D">
      <w:pPr>
        <w:spacing w:after="0" w:line="240" w:lineRule="auto"/>
        <w:rPr>
          <w:rFonts w:ascii="Arial" w:eastAsia="Calibri" w:hAnsi="Arial"/>
          <w:b/>
          <w:bCs/>
          <w:color w:val="595959"/>
          <w:sz w:val="28"/>
          <w:szCs w:val="28"/>
        </w:rPr>
      </w:pPr>
    </w:p>
    <w:p w14:paraId="00BC6AC0" w14:textId="5758087D" w:rsidR="00E23DE0" w:rsidRPr="00B21747" w:rsidRDefault="00E23DE0" w:rsidP="00E23DE0">
      <w:pPr>
        <w:spacing w:after="0" w:line="360" w:lineRule="auto"/>
        <w:rPr>
          <w:rFonts w:ascii="Arial" w:eastAsia="Calibri" w:hAnsi="Arial"/>
          <w:b/>
          <w:color w:val="595959"/>
          <w:sz w:val="20"/>
          <w:szCs w:val="20"/>
        </w:rPr>
      </w:pPr>
      <w:r w:rsidRPr="00B21747">
        <w:rPr>
          <w:rFonts w:ascii="Arial" w:eastAsia="Calibri" w:hAnsi="Arial"/>
          <w:b/>
          <w:color w:val="595959"/>
          <w:sz w:val="20"/>
          <w:szCs w:val="20"/>
        </w:rPr>
        <w:t>All estimates are in seasonally adjusted terms.</w:t>
      </w:r>
    </w:p>
    <w:p w14:paraId="5973B3D6" w14:textId="77777777" w:rsidR="00E23DE0" w:rsidRPr="00E23DE0" w:rsidRDefault="00E23DE0" w:rsidP="00E23DE0">
      <w:pPr>
        <w:spacing w:after="0" w:line="360" w:lineRule="auto"/>
        <w:rPr>
          <w:rFonts w:ascii="Arial" w:eastAsia="Calibri" w:hAnsi="Arial"/>
          <w:bCs/>
          <w:color w:val="595959"/>
          <w:sz w:val="20"/>
          <w:szCs w:val="20"/>
        </w:rPr>
      </w:pPr>
    </w:p>
    <w:p w14:paraId="249D6B2F" w14:textId="4A3A70C6" w:rsidR="00D3097D" w:rsidRPr="00B2550C" w:rsidRDefault="001072EF" w:rsidP="00D0083A">
      <w:pPr>
        <w:spacing w:after="0" w:line="360" w:lineRule="auto"/>
        <w:rPr>
          <w:rFonts w:ascii="Arial" w:eastAsia="Calibri" w:hAnsi="Arial"/>
          <w:b/>
          <w:bCs/>
          <w:color w:val="595959"/>
          <w:sz w:val="28"/>
          <w:szCs w:val="28"/>
        </w:rPr>
      </w:pPr>
      <w:r>
        <w:rPr>
          <w:rFonts w:ascii="Arial" w:eastAsia="Calibri" w:hAnsi="Arial"/>
          <w:bCs/>
          <w:color w:val="595959"/>
          <w:sz w:val="20"/>
          <w:szCs w:val="20"/>
        </w:rPr>
        <w:t xml:space="preserve">Gross Domestic Product </w:t>
      </w:r>
      <w:r w:rsidR="00D3097D" w:rsidRPr="00B2550C">
        <w:rPr>
          <w:rFonts w:ascii="Arial" w:eastAsia="Calibri" w:hAnsi="Arial"/>
          <w:bCs/>
          <w:color w:val="595959"/>
          <w:sz w:val="20"/>
          <w:szCs w:val="20"/>
        </w:rPr>
        <w:t xml:space="preserve">at current </w:t>
      </w:r>
      <w:r w:rsidR="00D3097D" w:rsidRPr="00B46F50">
        <w:rPr>
          <w:rFonts w:ascii="Arial" w:eastAsia="Calibri" w:hAnsi="Arial"/>
          <w:bCs/>
          <w:color w:val="595959"/>
          <w:sz w:val="20"/>
          <w:szCs w:val="20"/>
        </w:rPr>
        <w:t>prices</w:t>
      </w:r>
      <w:r>
        <w:rPr>
          <w:rFonts w:ascii="Arial" w:eastAsia="Calibri" w:hAnsi="Arial"/>
          <w:bCs/>
          <w:color w:val="595959"/>
          <w:sz w:val="20"/>
          <w:szCs w:val="20"/>
        </w:rPr>
        <w:t xml:space="preserve"> in the Emirate of Abu Dhabi</w:t>
      </w:r>
      <w:r w:rsidR="00D3097D" w:rsidRPr="00B46F50">
        <w:rPr>
          <w:rFonts w:ascii="Arial" w:eastAsia="Calibri" w:hAnsi="Arial"/>
          <w:bCs/>
          <w:color w:val="595959"/>
          <w:sz w:val="20"/>
          <w:szCs w:val="20"/>
        </w:rPr>
        <w:t xml:space="preserve"> </w:t>
      </w:r>
      <w:r w:rsidR="008B52DE">
        <w:rPr>
          <w:rFonts w:ascii="Arial" w:eastAsia="Calibri" w:hAnsi="Arial"/>
          <w:bCs/>
          <w:color w:val="595959"/>
          <w:sz w:val="20"/>
          <w:szCs w:val="20"/>
        </w:rPr>
        <w:t>increased</w:t>
      </w:r>
      <w:r w:rsidR="00D3097D" w:rsidRPr="00B46F50">
        <w:rPr>
          <w:rFonts w:ascii="Arial" w:eastAsia="Calibri" w:hAnsi="Arial"/>
          <w:bCs/>
          <w:color w:val="595959"/>
          <w:sz w:val="20"/>
          <w:szCs w:val="20"/>
        </w:rPr>
        <w:t xml:space="preserve"> by </w:t>
      </w:r>
      <w:r w:rsidR="00D0083A">
        <w:rPr>
          <w:rFonts w:ascii="Arial" w:eastAsia="Calibri" w:hAnsi="Arial"/>
          <w:bCs/>
          <w:color w:val="595959"/>
          <w:sz w:val="20"/>
          <w:szCs w:val="20"/>
        </w:rPr>
        <w:t>3.3</w:t>
      </w:r>
      <w:r w:rsidR="00D3097D" w:rsidRPr="00F536DE">
        <w:rPr>
          <w:rFonts w:ascii="Arial" w:eastAsia="Calibri" w:hAnsi="Arial"/>
          <w:bCs/>
          <w:color w:val="595959"/>
          <w:sz w:val="20"/>
          <w:szCs w:val="20"/>
        </w:rPr>
        <w:t>%</w:t>
      </w:r>
      <w:r w:rsidR="00C21FE2">
        <w:rPr>
          <w:rFonts w:ascii="Arial" w:eastAsia="Calibri" w:hAnsi="Arial"/>
          <w:bCs/>
          <w:color w:val="595959"/>
          <w:sz w:val="20"/>
          <w:szCs w:val="20"/>
        </w:rPr>
        <w:t xml:space="preserve"> from the </w:t>
      </w:r>
      <w:r w:rsidR="00A71A48">
        <w:rPr>
          <w:rFonts w:ascii="Arial" w:eastAsia="Calibri" w:hAnsi="Arial"/>
          <w:bCs/>
          <w:color w:val="595959"/>
          <w:sz w:val="20"/>
          <w:szCs w:val="20"/>
        </w:rPr>
        <w:t>first</w:t>
      </w:r>
      <w:r w:rsidR="00C21FE2">
        <w:rPr>
          <w:rFonts w:ascii="Arial" w:eastAsia="Calibri" w:hAnsi="Arial"/>
          <w:bCs/>
          <w:color w:val="595959"/>
          <w:sz w:val="20"/>
          <w:szCs w:val="20"/>
        </w:rPr>
        <w:t xml:space="preserve"> quarter of </w:t>
      </w:r>
      <w:r w:rsidR="00A71A48">
        <w:rPr>
          <w:rFonts w:ascii="Arial" w:eastAsia="Calibri" w:hAnsi="Arial"/>
          <w:bCs/>
          <w:color w:val="595959"/>
          <w:sz w:val="20"/>
          <w:szCs w:val="20"/>
        </w:rPr>
        <w:t>2018</w:t>
      </w:r>
      <w:r w:rsidR="00D3097D" w:rsidRPr="00B46F50">
        <w:rPr>
          <w:rFonts w:ascii="Arial" w:eastAsia="Calibri" w:hAnsi="Arial"/>
          <w:bCs/>
          <w:color w:val="595959"/>
          <w:sz w:val="20"/>
          <w:szCs w:val="20"/>
        </w:rPr>
        <w:t xml:space="preserve"> to the </w:t>
      </w:r>
      <w:r w:rsidR="00A71A48">
        <w:rPr>
          <w:rFonts w:ascii="Arial" w:eastAsia="Calibri" w:hAnsi="Arial"/>
          <w:bCs/>
          <w:color w:val="595959"/>
          <w:sz w:val="20"/>
          <w:szCs w:val="20"/>
        </w:rPr>
        <w:t>first</w:t>
      </w:r>
      <w:r w:rsidR="00DA23C1">
        <w:rPr>
          <w:rFonts w:ascii="Arial" w:eastAsia="Calibri" w:hAnsi="Arial"/>
          <w:bCs/>
          <w:color w:val="595959"/>
          <w:sz w:val="20"/>
          <w:szCs w:val="20"/>
        </w:rPr>
        <w:t xml:space="preserve"> quarter of </w:t>
      </w:r>
      <w:r w:rsidR="00A71A48">
        <w:rPr>
          <w:rFonts w:ascii="Arial" w:eastAsia="Calibri" w:hAnsi="Arial"/>
          <w:bCs/>
          <w:color w:val="595959"/>
          <w:sz w:val="20"/>
          <w:szCs w:val="20"/>
        </w:rPr>
        <w:t>2019</w:t>
      </w:r>
      <w:r w:rsidR="00D3097D" w:rsidRPr="00B46F50">
        <w:rPr>
          <w:rFonts w:ascii="Arial" w:eastAsia="Calibri" w:hAnsi="Arial"/>
          <w:bCs/>
          <w:color w:val="595959"/>
          <w:sz w:val="20"/>
          <w:szCs w:val="20"/>
        </w:rPr>
        <w:t xml:space="preserve">, while GDP at constant 2007 prices </w:t>
      </w:r>
      <w:r w:rsidR="002117AC">
        <w:rPr>
          <w:rFonts w:ascii="Arial" w:eastAsia="Calibri" w:hAnsi="Arial"/>
          <w:bCs/>
          <w:color w:val="595959"/>
          <w:sz w:val="20"/>
          <w:szCs w:val="20"/>
        </w:rPr>
        <w:t>increased</w:t>
      </w:r>
      <w:r w:rsidR="00D3097D" w:rsidRPr="00B46F50">
        <w:rPr>
          <w:rFonts w:ascii="Arial" w:eastAsia="Calibri" w:hAnsi="Arial"/>
          <w:bCs/>
          <w:color w:val="595959"/>
          <w:sz w:val="20"/>
          <w:szCs w:val="20"/>
        </w:rPr>
        <w:t xml:space="preserve"> by </w:t>
      </w:r>
      <w:r w:rsidR="00D0083A">
        <w:rPr>
          <w:rFonts w:ascii="Arial" w:eastAsia="Calibri" w:hAnsi="Arial"/>
          <w:bCs/>
          <w:color w:val="595959"/>
          <w:sz w:val="20"/>
          <w:szCs w:val="20"/>
        </w:rPr>
        <w:t>5</w:t>
      </w:r>
      <w:r w:rsidR="005F3753">
        <w:rPr>
          <w:rFonts w:ascii="Arial" w:eastAsia="Calibri" w:hAnsi="Arial"/>
          <w:bCs/>
          <w:color w:val="595959"/>
          <w:sz w:val="20"/>
          <w:szCs w:val="20"/>
        </w:rPr>
        <w:t>.7</w:t>
      </w:r>
      <w:r w:rsidR="00D3097D" w:rsidRPr="00B46F50">
        <w:rPr>
          <w:rFonts w:ascii="Arial" w:eastAsia="Calibri" w:hAnsi="Arial"/>
          <w:bCs/>
          <w:color w:val="595959"/>
          <w:sz w:val="20"/>
          <w:szCs w:val="20"/>
        </w:rPr>
        <w:t>% during</w:t>
      </w:r>
      <w:r w:rsidR="00D3097D" w:rsidRPr="00B2550C">
        <w:rPr>
          <w:rFonts w:ascii="Arial" w:eastAsia="Calibri" w:hAnsi="Arial"/>
          <w:bCs/>
          <w:color w:val="595959"/>
          <w:sz w:val="20"/>
          <w:szCs w:val="20"/>
        </w:rPr>
        <w:t xml:space="preserve"> the same period. </w:t>
      </w:r>
      <w:r w:rsidR="00D3097D" w:rsidRPr="002E6BC1">
        <w:rPr>
          <w:rFonts w:ascii="Arial" w:eastAsia="Calibri" w:hAnsi="Arial"/>
          <w:bCs/>
          <w:color w:val="595959"/>
          <w:sz w:val="20"/>
          <w:szCs w:val="20"/>
        </w:rPr>
        <w:t>Figur</w:t>
      </w:r>
      <w:r w:rsidR="00D3097D" w:rsidRPr="00EB1B0D">
        <w:rPr>
          <w:rFonts w:ascii="Arial" w:eastAsia="Calibri" w:hAnsi="Arial"/>
          <w:bCs/>
          <w:color w:val="595959"/>
          <w:sz w:val="20"/>
          <w:szCs w:val="20"/>
        </w:rPr>
        <w:t>e</w:t>
      </w:r>
      <w:r w:rsidR="00D3097D" w:rsidRPr="00C21FE2">
        <w:rPr>
          <w:rFonts w:ascii="Arial" w:eastAsia="Calibri" w:hAnsi="Arial"/>
          <w:b/>
          <w:color w:val="595959"/>
          <w:sz w:val="20"/>
          <w:szCs w:val="20"/>
        </w:rPr>
        <w:t xml:space="preserve"> </w:t>
      </w:r>
      <w:r w:rsidR="00D3097D" w:rsidRPr="00C21FE2">
        <w:rPr>
          <w:rFonts w:ascii="Arial" w:eastAsia="Calibri" w:hAnsi="Arial"/>
          <w:bCs/>
          <w:color w:val="595959"/>
          <w:sz w:val="20"/>
          <w:szCs w:val="20"/>
        </w:rPr>
        <w:t>1</w:t>
      </w:r>
      <w:r w:rsidR="00D3097D" w:rsidRPr="00B2550C">
        <w:rPr>
          <w:rFonts w:ascii="Arial" w:eastAsia="Calibri" w:hAnsi="Arial"/>
          <w:bCs/>
          <w:color w:val="595959"/>
          <w:sz w:val="20"/>
          <w:szCs w:val="20"/>
        </w:rPr>
        <w:t xml:space="preserve"> shows the annual change of quarterly GDP in both current and constant 2007 price</w:t>
      </w:r>
      <w:r w:rsidR="001D0C5D">
        <w:rPr>
          <w:rFonts w:ascii="Arial" w:eastAsia="Calibri" w:hAnsi="Arial"/>
          <w:bCs/>
          <w:color w:val="595959"/>
          <w:sz w:val="20"/>
          <w:szCs w:val="20"/>
        </w:rPr>
        <w:t>s</w:t>
      </w:r>
      <w:r w:rsidR="00D3097D" w:rsidRPr="00B2550C">
        <w:rPr>
          <w:rFonts w:ascii="Arial" w:eastAsia="Calibri" w:hAnsi="Arial"/>
          <w:bCs/>
          <w:color w:val="595959"/>
          <w:sz w:val="20"/>
          <w:szCs w:val="20"/>
        </w:rPr>
        <w:t xml:space="preserve">. These movements reflect the changes in each quarter compared with the same quarter in the previous year.  </w:t>
      </w:r>
    </w:p>
    <w:p w14:paraId="4625B2AE" w14:textId="77777777" w:rsidR="00D3097D" w:rsidRPr="00720A62" w:rsidRDefault="00D3097D" w:rsidP="00D3097D">
      <w:pPr>
        <w:autoSpaceDE w:val="0"/>
        <w:autoSpaceDN w:val="0"/>
        <w:adjustRightInd w:val="0"/>
        <w:spacing w:after="0" w:line="360" w:lineRule="auto"/>
        <w:jc w:val="both"/>
        <w:rPr>
          <w:rFonts w:ascii="Arial" w:eastAsia="Calibri" w:hAnsi="Arial"/>
          <w:b/>
          <w:bCs/>
          <w:color w:val="595959"/>
          <w:sz w:val="12"/>
          <w:szCs w:val="12"/>
        </w:rPr>
      </w:pPr>
    </w:p>
    <w:p w14:paraId="14A3DD26" w14:textId="77777777" w:rsidR="00D409A6" w:rsidRDefault="00D3097D" w:rsidP="00D409A6">
      <w:pPr>
        <w:pStyle w:val="EcoTableChartTitles"/>
      </w:pPr>
      <w:r w:rsidRPr="008A0579">
        <w:rPr>
          <w:color w:val="D6A461" w:themeColor="text2"/>
        </w:rPr>
        <w:t xml:space="preserve">Figure 1: </w:t>
      </w:r>
      <w:r w:rsidRPr="00D409A6">
        <w:rPr>
          <w:b/>
          <w:bCs/>
        </w:rPr>
        <w:t>Percentage change in Gross Domestic Product at current and constant 2007 prices, from the same quarter of the previous year</w:t>
      </w:r>
      <w:r w:rsidRPr="00B2550C">
        <w:t xml:space="preserve">    </w:t>
      </w:r>
    </w:p>
    <w:p w14:paraId="7571FEBF" w14:textId="668DC9CA" w:rsidR="00D3097D" w:rsidRDefault="007217B6" w:rsidP="00D3097D">
      <w:pPr>
        <w:autoSpaceDE w:val="0"/>
        <w:autoSpaceDN w:val="0"/>
        <w:adjustRightInd w:val="0"/>
        <w:spacing w:after="0" w:line="240" w:lineRule="auto"/>
        <w:contextualSpacing/>
        <w:rPr>
          <w:rFonts w:ascii="Arial" w:hAnsi="Arial"/>
          <w:b/>
          <w:bCs/>
          <w:color w:val="C00000"/>
          <w:sz w:val="16"/>
          <w:szCs w:val="16"/>
        </w:rPr>
      </w:pPr>
      <w:r>
        <w:rPr>
          <w:noProof/>
        </w:rPr>
        <w:drawing>
          <wp:inline distT="0" distB="0" distL="0" distR="0" wp14:anchorId="688344AA" wp14:editId="201AE35C">
            <wp:extent cx="5786323" cy="2743200"/>
            <wp:effectExtent l="0" t="0" r="508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4A22F8" w14:textId="77777777" w:rsidR="00045ABA" w:rsidRDefault="00045ABA" w:rsidP="00917809">
      <w:pPr>
        <w:pStyle w:val="EcoSourceNote"/>
      </w:pPr>
    </w:p>
    <w:p w14:paraId="04BAE806" w14:textId="7B2C528B" w:rsidR="00D3097D" w:rsidRPr="00045ABA" w:rsidRDefault="00D3097D" w:rsidP="00045ABA">
      <w:pPr>
        <w:pStyle w:val="EcoSourceNote"/>
      </w:pPr>
      <w:r w:rsidRPr="00757155">
        <w:t>Source: Statistics Centre - Abu Dhabi</w:t>
      </w:r>
    </w:p>
    <w:p w14:paraId="1163CFE7" w14:textId="77777777" w:rsidR="00D3097D" w:rsidRPr="00B2550C" w:rsidRDefault="00D3097D" w:rsidP="00D3097D">
      <w:pPr>
        <w:autoSpaceDE w:val="0"/>
        <w:autoSpaceDN w:val="0"/>
        <w:adjustRightInd w:val="0"/>
        <w:spacing w:after="0" w:line="360" w:lineRule="auto"/>
        <w:jc w:val="both"/>
        <w:rPr>
          <w:rFonts w:ascii="Arial" w:eastAsia="Calibri" w:hAnsi="Arial"/>
          <w:bCs/>
          <w:color w:val="595959"/>
          <w:sz w:val="20"/>
          <w:szCs w:val="20"/>
        </w:rPr>
      </w:pPr>
    </w:p>
    <w:p w14:paraId="3D2B7A5B" w14:textId="1B556809" w:rsidR="00D3097D" w:rsidRPr="00414B75" w:rsidRDefault="00D3097D" w:rsidP="00997A7F">
      <w:pPr>
        <w:autoSpaceDE w:val="0"/>
        <w:autoSpaceDN w:val="0"/>
        <w:adjustRightInd w:val="0"/>
        <w:spacing w:after="0" w:line="360" w:lineRule="auto"/>
        <w:jc w:val="both"/>
        <w:rPr>
          <w:rFonts w:ascii="Arial" w:eastAsia="Calibri" w:hAnsi="Arial"/>
          <w:b/>
          <w:bCs/>
          <w:color w:val="595959"/>
          <w:sz w:val="20"/>
          <w:szCs w:val="20"/>
        </w:rPr>
      </w:pPr>
      <w:r w:rsidRPr="00414B75">
        <w:rPr>
          <w:rFonts w:ascii="Arial" w:eastAsia="Calibri" w:hAnsi="Arial"/>
          <w:b/>
          <w:bCs/>
          <w:color w:val="595959"/>
          <w:sz w:val="20"/>
          <w:szCs w:val="20"/>
        </w:rPr>
        <w:t xml:space="preserve">The changes in oil and non-oil Gross Domestic Product at current prices, from the </w:t>
      </w:r>
      <w:r w:rsidR="00A71A48">
        <w:rPr>
          <w:rFonts w:ascii="Arial" w:eastAsia="Calibri" w:hAnsi="Arial"/>
          <w:b/>
          <w:bCs/>
          <w:color w:val="595959"/>
          <w:sz w:val="20"/>
          <w:szCs w:val="20"/>
        </w:rPr>
        <w:t>first</w:t>
      </w:r>
      <w:r w:rsidR="00D409A6">
        <w:rPr>
          <w:rFonts w:ascii="Arial" w:eastAsia="Calibri" w:hAnsi="Arial"/>
          <w:b/>
          <w:bCs/>
          <w:color w:val="595959"/>
          <w:sz w:val="20"/>
          <w:szCs w:val="20"/>
        </w:rPr>
        <w:t xml:space="preserve"> </w:t>
      </w:r>
      <w:r w:rsidR="00DA23C1">
        <w:rPr>
          <w:rFonts w:ascii="Arial" w:eastAsia="Calibri" w:hAnsi="Arial"/>
          <w:b/>
          <w:bCs/>
          <w:color w:val="595959"/>
          <w:sz w:val="20"/>
          <w:szCs w:val="20"/>
        </w:rPr>
        <w:t xml:space="preserve">quarter of </w:t>
      </w:r>
      <w:r w:rsidR="00A71A48">
        <w:rPr>
          <w:rFonts w:ascii="Arial" w:eastAsia="Calibri" w:hAnsi="Arial"/>
          <w:b/>
          <w:bCs/>
          <w:color w:val="595959"/>
          <w:sz w:val="20"/>
          <w:szCs w:val="20"/>
        </w:rPr>
        <w:t>2018</w:t>
      </w:r>
      <w:r w:rsidRPr="00414B75">
        <w:rPr>
          <w:rFonts w:ascii="Arial" w:eastAsia="Calibri" w:hAnsi="Arial"/>
          <w:b/>
          <w:bCs/>
          <w:color w:val="595959"/>
          <w:sz w:val="20"/>
          <w:szCs w:val="20"/>
        </w:rPr>
        <w:t xml:space="preserve"> to the </w:t>
      </w:r>
      <w:r w:rsidR="00A71A48">
        <w:rPr>
          <w:rFonts w:ascii="Arial" w:eastAsia="Calibri" w:hAnsi="Arial"/>
          <w:b/>
          <w:bCs/>
          <w:color w:val="595959"/>
          <w:sz w:val="20"/>
          <w:szCs w:val="20"/>
        </w:rPr>
        <w:t>first</w:t>
      </w:r>
      <w:r w:rsidR="00520892">
        <w:rPr>
          <w:rFonts w:ascii="Arial" w:eastAsia="Calibri" w:hAnsi="Arial"/>
          <w:b/>
          <w:bCs/>
          <w:color w:val="595959"/>
          <w:sz w:val="20"/>
          <w:szCs w:val="20"/>
        </w:rPr>
        <w:t xml:space="preserve"> </w:t>
      </w:r>
      <w:r w:rsidR="00DA23C1">
        <w:rPr>
          <w:rFonts w:ascii="Arial" w:eastAsia="Calibri" w:hAnsi="Arial"/>
          <w:b/>
          <w:bCs/>
          <w:color w:val="595959"/>
          <w:sz w:val="20"/>
          <w:szCs w:val="20"/>
        </w:rPr>
        <w:t xml:space="preserve">quarter of </w:t>
      </w:r>
      <w:r w:rsidR="00A71A48">
        <w:rPr>
          <w:rFonts w:ascii="Arial" w:eastAsia="Calibri" w:hAnsi="Arial"/>
          <w:b/>
          <w:bCs/>
          <w:color w:val="595959"/>
          <w:sz w:val="20"/>
          <w:szCs w:val="20"/>
        </w:rPr>
        <w:t>2019</w:t>
      </w:r>
      <w:r w:rsidRPr="00414B75">
        <w:rPr>
          <w:rFonts w:ascii="Arial" w:eastAsia="Calibri" w:hAnsi="Arial"/>
          <w:b/>
          <w:bCs/>
          <w:color w:val="595959"/>
          <w:sz w:val="20"/>
          <w:szCs w:val="20"/>
        </w:rPr>
        <w:t>, were as follows:</w:t>
      </w:r>
    </w:p>
    <w:p w14:paraId="4801B9B1" w14:textId="66039773" w:rsidR="00D3097D" w:rsidRPr="00B46F50" w:rsidRDefault="00D3097D" w:rsidP="00D0083A">
      <w:pPr>
        <w:numPr>
          <w:ilvl w:val="0"/>
          <w:numId w:val="41"/>
        </w:num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 xml:space="preserve">The value added by non-oil activities </w:t>
      </w:r>
      <w:r w:rsidR="00D0083A">
        <w:rPr>
          <w:rFonts w:ascii="Arial" w:eastAsia="Calibri" w:hAnsi="Arial"/>
          <w:bCs/>
          <w:color w:val="595959"/>
          <w:sz w:val="20"/>
          <w:szCs w:val="20"/>
        </w:rPr>
        <w:t>de</w:t>
      </w:r>
      <w:r w:rsidRPr="00B46F50">
        <w:rPr>
          <w:rFonts w:ascii="Arial" w:eastAsia="Calibri" w:hAnsi="Arial"/>
          <w:bCs/>
          <w:color w:val="595959"/>
          <w:sz w:val="20"/>
          <w:szCs w:val="20"/>
        </w:rPr>
        <w:t xml:space="preserve">creased by </w:t>
      </w:r>
      <w:r w:rsidR="005F3753">
        <w:rPr>
          <w:rFonts w:ascii="Arial" w:eastAsia="Calibri" w:hAnsi="Arial"/>
          <w:bCs/>
          <w:color w:val="595959"/>
          <w:sz w:val="20"/>
          <w:szCs w:val="20"/>
        </w:rPr>
        <w:t>1.6</w:t>
      </w:r>
      <w:r w:rsidRPr="00B46F50">
        <w:rPr>
          <w:rFonts w:ascii="Arial" w:eastAsia="Calibri" w:hAnsi="Arial"/>
          <w:bCs/>
          <w:color w:val="595959"/>
          <w:sz w:val="20"/>
          <w:szCs w:val="20"/>
        </w:rPr>
        <w:t xml:space="preserve">%. </w:t>
      </w:r>
    </w:p>
    <w:p w14:paraId="053DA3D4" w14:textId="44882846" w:rsidR="00D3097D" w:rsidRPr="00B46F50" w:rsidRDefault="00D3097D" w:rsidP="00D0083A">
      <w:pPr>
        <w:numPr>
          <w:ilvl w:val="0"/>
          <w:numId w:val="41"/>
        </w:num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 xml:space="preserve">The value added by oil activities </w:t>
      </w:r>
      <w:r w:rsidR="008B52DE">
        <w:rPr>
          <w:rFonts w:ascii="Arial" w:eastAsia="Calibri" w:hAnsi="Arial"/>
          <w:bCs/>
          <w:color w:val="595959"/>
          <w:sz w:val="20"/>
          <w:szCs w:val="20"/>
        </w:rPr>
        <w:t>in</w:t>
      </w:r>
      <w:r w:rsidRPr="00B46F50">
        <w:rPr>
          <w:rFonts w:ascii="Arial" w:eastAsia="Calibri" w:hAnsi="Arial"/>
          <w:bCs/>
          <w:color w:val="595959"/>
          <w:sz w:val="20"/>
          <w:szCs w:val="20"/>
        </w:rPr>
        <w:t xml:space="preserve">creased by </w:t>
      </w:r>
      <w:r w:rsidR="00D0083A">
        <w:rPr>
          <w:rFonts w:ascii="Arial" w:eastAsia="Calibri" w:hAnsi="Arial"/>
          <w:bCs/>
          <w:color w:val="595959"/>
          <w:sz w:val="20"/>
          <w:szCs w:val="20"/>
        </w:rPr>
        <w:t>11.6</w:t>
      </w:r>
      <w:r w:rsidRPr="00B46F50">
        <w:rPr>
          <w:rFonts w:ascii="Arial" w:eastAsia="Calibri" w:hAnsi="Arial"/>
          <w:bCs/>
          <w:color w:val="595959"/>
          <w:sz w:val="20"/>
          <w:szCs w:val="20"/>
        </w:rPr>
        <w:t xml:space="preserve">%. </w:t>
      </w:r>
    </w:p>
    <w:p w14:paraId="28C2BE67" w14:textId="77777777" w:rsidR="00D3097D" w:rsidRPr="00B46F50" w:rsidRDefault="00D3097D" w:rsidP="00D3097D">
      <w:pPr>
        <w:autoSpaceDE w:val="0"/>
        <w:autoSpaceDN w:val="0"/>
        <w:adjustRightInd w:val="0"/>
        <w:spacing w:after="0" w:line="360" w:lineRule="auto"/>
        <w:rPr>
          <w:rFonts w:ascii="Arial" w:eastAsia="Calibri" w:hAnsi="Arial"/>
          <w:b/>
          <w:bCs/>
          <w:color w:val="595959"/>
          <w:sz w:val="20"/>
          <w:szCs w:val="20"/>
        </w:rPr>
      </w:pPr>
    </w:p>
    <w:p w14:paraId="520F4CB5" w14:textId="22F9AA2C" w:rsidR="00D3097D" w:rsidRPr="00B46F50" w:rsidRDefault="00D3097D" w:rsidP="00D0083A">
      <w:pPr>
        <w:autoSpaceDE w:val="0"/>
        <w:autoSpaceDN w:val="0"/>
        <w:adjustRightInd w:val="0"/>
        <w:spacing w:after="0" w:line="360" w:lineRule="auto"/>
        <w:rPr>
          <w:rFonts w:ascii="Arial" w:eastAsia="Calibri" w:hAnsi="Arial"/>
          <w:b/>
          <w:bCs/>
          <w:color w:val="595959"/>
          <w:sz w:val="20"/>
          <w:szCs w:val="20"/>
        </w:rPr>
      </w:pPr>
      <w:r w:rsidRPr="00B46F50">
        <w:rPr>
          <w:rFonts w:ascii="Arial" w:eastAsia="Calibri" w:hAnsi="Arial"/>
          <w:b/>
          <w:bCs/>
          <w:color w:val="595959"/>
          <w:sz w:val="20"/>
          <w:szCs w:val="20"/>
        </w:rPr>
        <w:t xml:space="preserve">Gross Domestic Product at constant prices </w:t>
      </w:r>
      <w:r w:rsidR="00520892">
        <w:rPr>
          <w:rFonts w:ascii="Arial" w:eastAsia="Calibri" w:hAnsi="Arial"/>
          <w:b/>
          <w:bCs/>
          <w:color w:val="595959"/>
          <w:sz w:val="20"/>
          <w:szCs w:val="20"/>
        </w:rPr>
        <w:t>increased</w:t>
      </w:r>
      <w:r w:rsidRPr="00B46F50">
        <w:rPr>
          <w:rFonts w:ascii="Arial" w:eastAsia="Calibri" w:hAnsi="Arial"/>
          <w:b/>
          <w:bCs/>
          <w:color w:val="595959"/>
          <w:sz w:val="20"/>
          <w:szCs w:val="20"/>
        </w:rPr>
        <w:t xml:space="preserve"> by </w:t>
      </w:r>
      <w:r w:rsidR="00D0083A">
        <w:rPr>
          <w:rFonts w:ascii="Arial" w:eastAsia="Calibri" w:hAnsi="Arial"/>
          <w:b/>
          <w:bCs/>
          <w:color w:val="595959"/>
          <w:sz w:val="20"/>
          <w:szCs w:val="20"/>
        </w:rPr>
        <w:t>5</w:t>
      </w:r>
      <w:r w:rsidR="005F3753">
        <w:rPr>
          <w:rFonts w:ascii="Arial" w:eastAsia="Calibri" w:hAnsi="Arial"/>
          <w:b/>
          <w:bCs/>
          <w:color w:val="595959"/>
          <w:sz w:val="20"/>
          <w:szCs w:val="20"/>
        </w:rPr>
        <w:t>.7</w:t>
      </w:r>
      <w:r w:rsidRPr="00B46F50">
        <w:rPr>
          <w:rFonts w:ascii="Arial" w:eastAsia="Calibri" w:hAnsi="Arial"/>
          <w:b/>
          <w:bCs/>
          <w:color w:val="595959"/>
          <w:sz w:val="20"/>
          <w:szCs w:val="20"/>
        </w:rPr>
        <w:t xml:space="preserve">% from the </w:t>
      </w:r>
      <w:r w:rsidR="00A71A48">
        <w:rPr>
          <w:rFonts w:ascii="Arial" w:eastAsia="Calibri" w:hAnsi="Arial"/>
          <w:b/>
          <w:bCs/>
          <w:color w:val="595959"/>
          <w:sz w:val="20"/>
          <w:szCs w:val="20"/>
        </w:rPr>
        <w:t>first</w:t>
      </w:r>
      <w:r w:rsidR="00DA23C1">
        <w:rPr>
          <w:rFonts w:ascii="Arial" w:eastAsia="Calibri" w:hAnsi="Arial"/>
          <w:b/>
          <w:bCs/>
          <w:color w:val="595959"/>
          <w:sz w:val="20"/>
          <w:szCs w:val="20"/>
        </w:rPr>
        <w:t xml:space="preserve"> quarter of </w:t>
      </w:r>
      <w:r w:rsidR="00A71A48">
        <w:rPr>
          <w:rFonts w:ascii="Arial" w:eastAsia="Calibri" w:hAnsi="Arial"/>
          <w:b/>
          <w:bCs/>
          <w:color w:val="595959"/>
          <w:sz w:val="20"/>
          <w:szCs w:val="20"/>
        </w:rPr>
        <w:t>2018</w:t>
      </w:r>
      <w:r w:rsidRPr="00B46F50">
        <w:rPr>
          <w:rFonts w:ascii="Arial" w:eastAsia="Calibri" w:hAnsi="Arial"/>
          <w:b/>
          <w:bCs/>
          <w:color w:val="595959"/>
          <w:sz w:val="20"/>
          <w:szCs w:val="20"/>
        </w:rPr>
        <w:t xml:space="preserve"> to the </w:t>
      </w:r>
      <w:r w:rsidR="00A71A48">
        <w:rPr>
          <w:rFonts w:ascii="Arial" w:eastAsia="Calibri" w:hAnsi="Arial"/>
          <w:b/>
          <w:bCs/>
          <w:color w:val="595959"/>
          <w:sz w:val="20"/>
          <w:szCs w:val="20"/>
        </w:rPr>
        <w:t>first</w:t>
      </w:r>
      <w:r w:rsidR="00DA23C1">
        <w:rPr>
          <w:rFonts w:ascii="Arial" w:eastAsia="Calibri" w:hAnsi="Arial"/>
          <w:b/>
          <w:bCs/>
          <w:color w:val="595959"/>
          <w:sz w:val="20"/>
          <w:szCs w:val="20"/>
        </w:rPr>
        <w:t xml:space="preserve"> quarter of </w:t>
      </w:r>
      <w:r w:rsidR="00A71A48">
        <w:rPr>
          <w:rFonts w:ascii="Arial" w:eastAsia="Calibri" w:hAnsi="Arial"/>
          <w:b/>
          <w:bCs/>
          <w:color w:val="595959"/>
          <w:sz w:val="20"/>
          <w:szCs w:val="20"/>
        </w:rPr>
        <w:t>2019</w:t>
      </w:r>
      <w:r w:rsidRPr="00B46F50">
        <w:rPr>
          <w:rFonts w:ascii="Arial" w:eastAsia="Calibri" w:hAnsi="Arial"/>
          <w:b/>
          <w:bCs/>
          <w:color w:val="595959"/>
          <w:sz w:val="20"/>
          <w:szCs w:val="20"/>
        </w:rPr>
        <w:t xml:space="preserve"> </w:t>
      </w:r>
    </w:p>
    <w:p w14:paraId="2FFEAD0C" w14:textId="77777777" w:rsidR="00D3097D" w:rsidRPr="00B46F50" w:rsidRDefault="00D3097D" w:rsidP="00D3097D">
      <w:p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 xml:space="preserve">The changes in the </w:t>
      </w:r>
      <w:r w:rsidRPr="00B46F50">
        <w:rPr>
          <w:rFonts w:ascii="Arial" w:eastAsia="Calibri" w:hAnsi="Arial"/>
          <w:color w:val="595959"/>
          <w:sz w:val="20"/>
          <w:szCs w:val="20"/>
        </w:rPr>
        <w:t>oil and non-oil Gross Domestic Product</w:t>
      </w:r>
      <w:r w:rsidRPr="00B46F50">
        <w:rPr>
          <w:rFonts w:ascii="Arial" w:eastAsia="Calibri" w:hAnsi="Arial"/>
          <w:bCs/>
          <w:color w:val="595959"/>
          <w:sz w:val="20"/>
          <w:szCs w:val="20"/>
        </w:rPr>
        <w:t xml:space="preserve"> were as follows:</w:t>
      </w:r>
    </w:p>
    <w:p w14:paraId="58417169" w14:textId="352D7E64" w:rsidR="00D3097D" w:rsidRPr="00B46F50" w:rsidRDefault="00D3097D" w:rsidP="00D0083A">
      <w:pPr>
        <w:numPr>
          <w:ilvl w:val="0"/>
          <w:numId w:val="41"/>
        </w:num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 xml:space="preserve">The value added by non-oil activities </w:t>
      </w:r>
      <w:r w:rsidR="00997A7F">
        <w:rPr>
          <w:rFonts w:ascii="Arial" w:eastAsia="Calibri" w:hAnsi="Arial"/>
          <w:bCs/>
          <w:color w:val="595959"/>
          <w:sz w:val="20"/>
          <w:szCs w:val="20"/>
        </w:rPr>
        <w:t>de</w:t>
      </w:r>
      <w:r w:rsidR="00276FA7">
        <w:rPr>
          <w:rFonts w:ascii="Arial" w:eastAsia="Calibri" w:hAnsi="Arial"/>
          <w:bCs/>
          <w:color w:val="595959"/>
          <w:sz w:val="20"/>
          <w:szCs w:val="20"/>
        </w:rPr>
        <w:t>creased</w:t>
      </w:r>
      <w:r w:rsidRPr="00B46F50">
        <w:rPr>
          <w:rFonts w:ascii="Arial" w:eastAsia="Calibri" w:hAnsi="Arial"/>
          <w:bCs/>
          <w:color w:val="595959"/>
          <w:sz w:val="20"/>
          <w:szCs w:val="20"/>
        </w:rPr>
        <w:t xml:space="preserve"> by </w:t>
      </w:r>
      <w:r w:rsidR="00D0083A">
        <w:rPr>
          <w:rFonts w:ascii="Arial" w:eastAsia="Calibri" w:hAnsi="Arial"/>
          <w:bCs/>
          <w:color w:val="595959"/>
          <w:sz w:val="20"/>
          <w:szCs w:val="20"/>
        </w:rPr>
        <w:t>0</w:t>
      </w:r>
      <w:r w:rsidR="005F3753">
        <w:rPr>
          <w:rFonts w:ascii="Arial" w:eastAsia="Calibri" w:hAnsi="Arial"/>
          <w:bCs/>
          <w:color w:val="595959"/>
          <w:sz w:val="20"/>
          <w:szCs w:val="20"/>
        </w:rPr>
        <w:t>.</w:t>
      </w:r>
      <w:r w:rsidR="00D0083A">
        <w:rPr>
          <w:rFonts w:ascii="Arial" w:eastAsia="Calibri" w:hAnsi="Arial"/>
          <w:bCs/>
          <w:color w:val="595959"/>
          <w:sz w:val="20"/>
          <w:szCs w:val="20"/>
        </w:rPr>
        <w:t>9</w:t>
      </w:r>
      <w:r w:rsidRPr="00B46F50">
        <w:rPr>
          <w:rFonts w:ascii="Arial" w:eastAsia="Calibri" w:hAnsi="Arial"/>
          <w:bCs/>
          <w:color w:val="595959"/>
          <w:sz w:val="20"/>
          <w:szCs w:val="20"/>
        </w:rPr>
        <w:t>%.</w:t>
      </w:r>
    </w:p>
    <w:p w14:paraId="61A8B0FE" w14:textId="6AE93AE0" w:rsidR="00D3097D" w:rsidRPr="00B46F50" w:rsidRDefault="00D3097D" w:rsidP="00D0083A">
      <w:pPr>
        <w:numPr>
          <w:ilvl w:val="0"/>
          <w:numId w:val="41"/>
        </w:num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The</w:t>
      </w:r>
      <w:r w:rsidR="00920B24">
        <w:rPr>
          <w:rFonts w:ascii="Arial" w:eastAsia="Calibri" w:hAnsi="Arial"/>
          <w:bCs/>
          <w:color w:val="595959"/>
          <w:sz w:val="20"/>
          <w:szCs w:val="20"/>
        </w:rPr>
        <w:t xml:space="preserve"> value added by oil activities </w:t>
      </w:r>
      <w:r w:rsidR="000E0823">
        <w:rPr>
          <w:rFonts w:ascii="Arial" w:eastAsia="Calibri" w:hAnsi="Arial"/>
          <w:bCs/>
          <w:color w:val="595959"/>
          <w:sz w:val="20"/>
          <w:szCs w:val="20"/>
        </w:rPr>
        <w:t>increased</w:t>
      </w:r>
      <w:r w:rsidRPr="00B46F50">
        <w:rPr>
          <w:rFonts w:ascii="Arial" w:eastAsia="Calibri" w:hAnsi="Arial"/>
          <w:bCs/>
          <w:color w:val="595959"/>
          <w:sz w:val="20"/>
          <w:szCs w:val="20"/>
        </w:rPr>
        <w:t xml:space="preserve"> by </w:t>
      </w:r>
      <w:r w:rsidR="00D0083A">
        <w:rPr>
          <w:rFonts w:ascii="Arial" w:eastAsia="Calibri" w:hAnsi="Arial"/>
          <w:bCs/>
          <w:color w:val="595959"/>
          <w:sz w:val="20"/>
          <w:szCs w:val="20"/>
        </w:rPr>
        <w:t>12.8</w:t>
      </w:r>
      <w:r w:rsidRPr="00B46F50">
        <w:rPr>
          <w:rFonts w:ascii="Arial" w:eastAsia="Calibri" w:hAnsi="Arial"/>
          <w:bCs/>
          <w:color w:val="595959"/>
          <w:sz w:val="20"/>
          <w:szCs w:val="20"/>
        </w:rPr>
        <w:t xml:space="preserve">%. </w:t>
      </w:r>
    </w:p>
    <w:p w14:paraId="1F9AF709" w14:textId="77777777" w:rsidR="00D3097D" w:rsidRPr="00B2550C" w:rsidRDefault="00D3097D" w:rsidP="00D3097D">
      <w:pPr>
        <w:autoSpaceDE w:val="0"/>
        <w:autoSpaceDN w:val="0"/>
        <w:adjustRightInd w:val="0"/>
        <w:spacing w:after="0" w:line="360" w:lineRule="auto"/>
        <w:rPr>
          <w:rFonts w:ascii="Arial" w:eastAsia="Calibri" w:hAnsi="Arial"/>
          <w:bCs/>
          <w:color w:val="595959"/>
          <w:sz w:val="20"/>
          <w:szCs w:val="20"/>
        </w:rPr>
      </w:pPr>
    </w:p>
    <w:p w14:paraId="0C3FE071" w14:textId="77777777" w:rsidR="00D3097D" w:rsidRDefault="00D3097D" w:rsidP="00D3097D">
      <w:pPr>
        <w:spacing w:after="0" w:line="360" w:lineRule="auto"/>
        <w:rPr>
          <w:rFonts w:ascii="Arial" w:eastAsia="Calibri" w:hAnsi="Arial"/>
          <w:bCs/>
          <w:color w:val="595959"/>
          <w:sz w:val="20"/>
          <w:szCs w:val="20"/>
          <w:rtl/>
        </w:rPr>
      </w:pPr>
    </w:p>
    <w:p w14:paraId="09921470" w14:textId="77777777" w:rsidR="00D3097D" w:rsidRDefault="00D3097D" w:rsidP="00D3097D">
      <w:pPr>
        <w:spacing w:after="0" w:line="360" w:lineRule="auto"/>
        <w:rPr>
          <w:rFonts w:ascii="Arial" w:eastAsia="Calibri" w:hAnsi="Arial"/>
          <w:bCs/>
          <w:color w:val="595959"/>
          <w:sz w:val="20"/>
          <w:szCs w:val="20"/>
        </w:rPr>
      </w:pPr>
    </w:p>
    <w:p w14:paraId="66543666" w14:textId="191F09E9" w:rsidR="00C920E6" w:rsidRPr="00414B75" w:rsidRDefault="00C920E6" w:rsidP="005F3753">
      <w:pPr>
        <w:autoSpaceDE w:val="0"/>
        <w:autoSpaceDN w:val="0"/>
        <w:adjustRightInd w:val="0"/>
        <w:spacing w:after="0" w:line="360" w:lineRule="auto"/>
        <w:jc w:val="both"/>
        <w:rPr>
          <w:rFonts w:ascii="Arial" w:eastAsia="Calibri" w:hAnsi="Arial"/>
          <w:b/>
          <w:bCs/>
          <w:color w:val="595959"/>
          <w:sz w:val="20"/>
          <w:szCs w:val="20"/>
        </w:rPr>
      </w:pPr>
      <w:r w:rsidRPr="00414B75">
        <w:rPr>
          <w:rFonts w:ascii="Arial" w:eastAsia="Calibri" w:hAnsi="Arial"/>
          <w:b/>
          <w:bCs/>
          <w:color w:val="595959"/>
          <w:sz w:val="20"/>
          <w:szCs w:val="20"/>
        </w:rPr>
        <w:lastRenderedPageBreak/>
        <w:t xml:space="preserve">The changes in oil and non-oil Gross Domestic Product at current prices, from the </w:t>
      </w:r>
      <w:r w:rsidR="00D0083A">
        <w:rPr>
          <w:rFonts w:ascii="Arial" w:eastAsia="Calibri" w:hAnsi="Arial"/>
          <w:b/>
          <w:bCs/>
          <w:color w:val="595959"/>
          <w:sz w:val="20"/>
          <w:szCs w:val="20"/>
        </w:rPr>
        <w:t>fourth</w:t>
      </w:r>
      <w:r w:rsidR="0097505E">
        <w:rPr>
          <w:rFonts w:ascii="Arial" w:eastAsia="Calibri" w:hAnsi="Arial"/>
          <w:b/>
          <w:bCs/>
          <w:color w:val="595959"/>
          <w:sz w:val="20"/>
          <w:szCs w:val="20"/>
        </w:rPr>
        <w:t xml:space="preserve"> </w:t>
      </w:r>
      <w:r w:rsidR="00D0083A">
        <w:rPr>
          <w:rFonts w:ascii="Arial" w:eastAsia="Calibri" w:hAnsi="Arial"/>
          <w:b/>
          <w:bCs/>
          <w:color w:val="595959"/>
          <w:sz w:val="20"/>
          <w:szCs w:val="20"/>
        </w:rPr>
        <w:t xml:space="preserve">quarter of 2018 </w:t>
      </w:r>
      <w:r w:rsidR="00930017">
        <w:rPr>
          <w:rFonts w:ascii="Arial" w:eastAsia="Calibri" w:hAnsi="Arial"/>
          <w:b/>
          <w:bCs/>
          <w:color w:val="595959"/>
          <w:sz w:val="20"/>
          <w:szCs w:val="20"/>
        </w:rPr>
        <w:t xml:space="preserve">to the </w:t>
      </w:r>
      <w:r w:rsidR="00A71A48">
        <w:rPr>
          <w:rFonts w:ascii="Arial" w:eastAsia="Calibri" w:hAnsi="Arial"/>
          <w:b/>
          <w:bCs/>
          <w:color w:val="595959"/>
          <w:sz w:val="20"/>
          <w:szCs w:val="20"/>
        </w:rPr>
        <w:t>first</w:t>
      </w:r>
      <w:r w:rsidR="00930017">
        <w:rPr>
          <w:rFonts w:ascii="Arial" w:eastAsia="Calibri" w:hAnsi="Arial"/>
          <w:b/>
          <w:bCs/>
          <w:color w:val="595959"/>
          <w:sz w:val="20"/>
          <w:szCs w:val="20"/>
        </w:rPr>
        <w:t xml:space="preserve"> quarter of </w:t>
      </w:r>
      <w:r w:rsidR="00A71A48">
        <w:rPr>
          <w:rFonts w:ascii="Arial" w:eastAsia="Calibri" w:hAnsi="Arial"/>
          <w:b/>
          <w:bCs/>
          <w:color w:val="595959"/>
          <w:sz w:val="20"/>
          <w:szCs w:val="20"/>
        </w:rPr>
        <w:t>2019</w:t>
      </w:r>
      <w:r w:rsidRPr="00414B75">
        <w:rPr>
          <w:rFonts w:ascii="Arial" w:eastAsia="Calibri" w:hAnsi="Arial"/>
          <w:b/>
          <w:bCs/>
          <w:color w:val="595959"/>
          <w:sz w:val="20"/>
          <w:szCs w:val="20"/>
        </w:rPr>
        <w:t>, were as follows:</w:t>
      </w:r>
    </w:p>
    <w:p w14:paraId="47B7C23E" w14:textId="382FA182" w:rsidR="00C920E6" w:rsidRPr="00B46F50" w:rsidRDefault="00C920E6" w:rsidP="000664CD">
      <w:pPr>
        <w:numPr>
          <w:ilvl w:val="0"/>
          <w:numId w:val="41"/>
        </w:num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 xml:space="preserve">The value added by non-oil activities </w:t>
      </w:r>
      <w:r w:rsidR="000664CD">
        <w:rPr>
          <w:rFonts w:ascii="Arial" w:eastAsia="Calibri" w:hAnsi="Arial"/>
          <w:bCs/>
          <w:color w:val="595959"/>
          <w:sz w:val="20"/>
          <w:szCs w:val="20"/>
        </w:rPr>
        <w:t>de</w:t>
      </w:r>
      <w:r w:rsidR="005F3753">
        <w:rPr>
          <w:rFonts w:ascii="Arial" w:eastAsia="Calibri" w:hAnsi="Arial"/>
          <w:bCs/>
          <w:color w:val="595959"/>
          <w:sz w:val="20"/>
          <w:szCs w:val="20"/>
        </w:rPr>
        <w:t>creased</w:t>
      </w:r>
      <w:r w:rsidRPr="00B46F50">
        <w:rPr>
          <w:rFonts w:ascii="Arial" w:eastAsia="Calibri" w:hAnsi="Arial"/>
          <w:bCs/>
          <w:color w:val="595959"/>
          <w:sz w:val="20"/>
          <w:szCs w:val="20"/>
        </w:rPr>
        <w:t xml:space="preserve"> by </w:t>
      </w:r>
      <w:r w:rsidR="005F3753">
        <w:rPr>
          <w:rFonts w:ascii="Arial" w:eastAsia="Calibri" w:hAnsi="Arial"/>
          <w:bCs/>
          <w:color w:val="595959"/>
          <w:sz w:val="20"/>
          <w:szCs w:val="20"/>
        </w:rPr>
        <w:t>2.</w:t>
      </w:r>
      <w:r w:rsidR="000664CD">
        <w:rPr>
          <w:rFonts w:ascii="Arial" w:eastAsia="Calibri" w:hAnsi="Arial"/>
          <w:bCs/>
          <w:color w:val="595959"/>
          <w:sz w:val="20"/>
          <w:szCs w:val="20"/>
        </w:rPr>
        <w:t>9</w:t>
      </w:r>
      <w:r w:rsidRPr="00B46F50">
        <w:rPr>
          <w:rFonts w:ascii="Arial" w:eastAsia="Calibri" w:hAnsi="Arial"/>
          <w:bCs/>
          <w:color w:val="595959"/>
          <w:sz w:val="20"/>
          <w:szCs w:val="20"/>
        </w:rPr>
        <w:t xml:space="preserve">%. </w:t>
      </w:r>
    </w:p>
    <w:p w14:paraId="6FA3A088" w14:textId="572EB965" w:rsidR="00C920E6" w:rsidRPr="00B46F50" w:rsidRDefault="00C920E6" w:rsidP="000664CD">
      <w:pPr>
        <w:numPr>
          <w:ilvl w:val="0"/>
          <w:numId w:val="41"/>
        </w:num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 xml:space="preserve">The value added by oil activities </w:t>
      </w:r>
      <w:r w:rsidR="000664CD">
        <w:rPr>
          <w:rFonts w:ascii="Arial" w:eastAsia="Calibri" w:hAnsi="Arial"/>
          <w:bCs/>
          <w:color w:val="595959"/>
          <w:sz w:val="20"/>
          <w:szCs w:val="20"/>
        </w:rPr>
        <w:t>de</w:t>
      </w:r>
      <w:r w:rsidRPr="00B46F50">
        <w:rPr>
          <w:rFonts w:ascii="Arial" w:eastAsia="Calibri" w:hAnsi="Arial"/>
          <w:bCs/>
          <w:color w:val="595959"/>
          <w:sz w:val="20"/>
          <w:szCs w:val="20"/>
        </w:rPr>
        <w:t xml:space="preserve">creased by </w:t>
      </w:r>
      <w:r w:rsidR="000664CD">
        <w:rPr>
          <w:rFonts w:ascii="Arial" w:eastAsia="Calibri" w:hAnsi="Arial"/>
          <w:bCs/>
          <w:color w:val="595959"/>
          <w:sz w:val="20"/>
          <w:szCs w:val="20"/>
        </w:rPr>
        <w:t>1</w:t>
      </w:r>
      <w:r w:rsidR="005F3753">
        <w:rPr>
          <w:rFonts w:ascii="Arial" w:eastAsia="Calibri" w:hAnsi="Arial"/>
          <w:bCs/>
          <w:color w:val="595959"/>
          <w:sz w:val="20"/>
          <w:szCs w:val="20"/>
        </w:rPr>
        <w:t>2.5</w:t>
      </w:r>
      <w:r w:rsidRPr="00B46F50">
        <w:rPr>
          <w:rFonts w:ascii="Arial" w:eastAsia="Calibri" w:hAnsi="Arial"/>
          <w:bCs/>
          <w:color w:val="595959"/>
          <w:sz w:val="20"/>
          <w:szCs w:val="20"/>
        </w:rPr>
        <w:t xml:space="preserve">%. </w:t>
      </w:r>
    </w:p>
    <w:p w14:paraId="735283B4" w14:textId="675A2A3D" w:rsidR="00C920E6" w:rsidRPr="00B46F50" w:rsidRDefault="00C920E6" w:rsidP="00C920E6">
      <w:pPr>
        <w:autoSpaceDE w:val="0"/>
        <w:autoSpaceDN w:val="0"/>
        <w:adjustRightInd w:val="0"/>
        <w:spacing w:after="0" w:line="360" w:lineRule="auto"/>
        <w:rPr>
          <w:rFonts w:ascii="Arial" w:eastAsia="Calibri" w:hAnsi="Arial"/>
          <w:b/>
          <w:bCs/>
          <w:color w:val="595959"/>
          <w:sz w:val="20"/>
          <w:szCs w:val="20"/>
        </w:rPr>
      </w:pPr>
    </w:p>
    <w:p w14:paraId="3F938BCC" w14:textId="18C3945E" w:rsidR="00C920E6" w:rsidRPr="00B46F50" w:rsidRDefault="00C920E6" w:rsidP="000664CD">
      <w:pPr>
        <w:autoSpaceDE w:val="0"/>
        <w:autoSpaceDN w:val="0"/>
        <w:adjustRightInd w:val="0"/>
        <w:spacing w:after="0" w:line="360" w:lineRule="auto"/>
        <w:rPr>
          <w:rFonts w:ascii="Arial" w:eastAsia="Calibri" w:hAnsi="Arial"/>
          <w:b/>
          <w:bCs/>
          <w:color w:val="595959"/>
          <w:sz w:val="20"/>
          <w:szCs w:val="20"/>
        </w:rPr>
      </w:pPr>
      <w:r w:rsidRPr="00B46F50">
        <w:rPr>
          <w:rFonts w:ascii="Arial" w:eastAsia="Calibri" w:hAnsi="Arial"/>
          <w:b/>
          <w:bCs/>
          <w:color w:val="595959"/>
          <w:sz w:val="20"/>
          <w:szCs w:val="20"/>
        </w:rPr>
        <w:t xml:space="preserve">Gross Domestic Product at constant prices </w:t>
      </w:r>
      <w:r w:rsidR="00930017">
        <w:rPr>
          <w:rFonts w:ascii="Arial" w:eastAsia="Calibri" w:hAnsi="Arial"/>
          <w:b/>
          <w:bCs/>
          <w:color w:val="595959"/>
          <w:sz w:val="20"/>
          <w:szCs w:val="20"/>
        </w:rPr>
        <w:t>increased</w:t>
      </w:r>
      <w:r w:rsidRPr="00B46F50">
        <w:rPr>
          <w:rFonts w:ascii="Arial" w:eastAsia="Calibri" w:hAnsi="Arial"/>
          <w:b/>
          <w:bCs/>
          <w:color w:val="595959"/>
          <w:sz w:val="20"/>
          <w:szCs w:val="20"/>
        </w:rPr>
        <w:t xml:space="preserve"> </w:t>
      </w:r>
      <w:r w:rsidR="00930017">
        <w:rPr>
          <w:rFonts w:ascii="Arial" w:eastAsia="Calibri" w:hAnsi="Arial"/>
          <w:b/>
          <w:bCs/>
          <w:color w:val="595959"/>
          <w:sz w:val="20"/>
          <w:szCs w:val="20"/>
        </w:rPr>
        <w:t>by</w:t>
      </w:r>
      <w:r w:rsidRPr="00B46F50">
        <w:rPr>
          <w:rFonts w:ascii="Arial" w:eastAsia="Calibri" w:hAnsi="Arial"/>
          <w:b/>
          <w:bCs/>
          <w:color w:val="595959"/>
          <w:sz w:val="20"/>
          <w:szCs w:val="20"/>
        </w:rPr>
        <w:t xml:space="preserve"> </w:t>
      </w:r>
      <w:r w:rsidR="005F3753">
        <w:rPr>
          <w:rFonts w:ascii="Arial" w:eastAsia="Calibri" w:hAnsi="Arial"/>
          <w:b/>
          <w:bCs/>
          <w:color w:val="595959"/>
          <w:sz w:val="20"/>
          <w:szCs w:val="20"/>
        </w:rPr>
        <w:t>2.</w:t>
      </w:r>
      <w:r w:rsidR="000664CD">
        <w:rPr>
          <w:rFonts w:ascii="Arial" w:eastAsia="Calibri" w:hAnsi="Arial"/>
          <w:b/>
          <w:bCs/>
          <w:color w:val="595959"/>
          <w:sz w:val="20"/>
          <w:szCs w:val="20"/>
        </w:rPr>
        <w:t>0</w:t>
      </w:r>
      <w:r w:rsidR="00930017">
        <w:rPr>
          <w:rFonts w:ascii="Arial" w:eastAsia="Calibri" w:hAnsi="Arial"/>
          <w:b/>
          <w:bCs/>
          <w:color w:val="595959"/>
          <w:sz w:val="20"/>
          <w:szCs w:val="20"/>
        </w:rPr>
        <w:t xml:space="preserve">% from </w:t>
      </w:r>
      <w:r w:rsidRPr="00B46F50">
        <w:rPr>
          <w:rFonts w:ascii="Arial" w:eastAsia="Calibri" w:hAnsi="Arial"/>
          <w:b/>
          <w:bCs/>
          <w:color w:val="595959"/>
          <w:sz w:val="20"/>
          <w:szCs w:val="20"/>
        </w:rPr>
        <w:t>the</w:t>
      </w:r>
      <w:r w:rsidR="00930017">
        <w:rPr>
          <w:rFonts w:ascii="Arial" w:eastAsia="Calibri" w:hAnsi="Arial"/>
          <w:b/>
          <w:bCs/>
          <w:color w:val="595959"/>
          <w:sz w:val="20"/>
          <w:szCs w:val="20"/>
        </w:rPr>
        <w:t xml:space="preserve"> </w:t>
      </w:r>
      <w:r w:rsidR="00D0083A">
        <w:rPr>
          <w:rFonts w:ascii="Arial" w:eastAsia="Calibri" w:hAnsi="Arial"/>
          <w:b/>
          <w:bCs/>
          <w:color w:val="595959"/>
          <w:sz w:val="20"/>
          <w:szCs w:val="20"/>
        </w:rPr>
        <w:t>fourth quarter of 2018</w:t>
      </w:r>
      <w:r w:rsidR="0097505E">
        <w:rPr>
          <w:rFonts w:ascii="Arial" w:eastAsia="Calibri" w:hAnsi="Arial"/>
          <w:b/>
          <w:bCs/>
          <w:color w:val="595959"/>
          <w:sz w:val="20"/>
          <w:szCs w:val="20"/>
        </w:rPr>
        <w:t xml:space="preserve"> </w:t>
      </w:r>
      <w:r w:rsidR="00930017">
        <w:rPr>
          <w:rFonts w:ascii="Arial" w:eastAsia="Calibri" w:hAnsi="Arial"/>
          <w:b/>
          <w:bCs/>
          <w:color w:val="595959"/>
          <w:sz w:val="20"/>
          <w:szCs w:val="20"/>
        </w:rPr>
        <w:t xml:space="preserve">to the </w:t>
      </w:r>
      <w:r w:rsidR="00A71A48">
        <w:rPr>
          <w:rFonts w:ascii="Arial" w:eastAsia="Calibri" w:hAnsi="Arial"/>
          <w:b/>
          <w:bCs/>
          <w:color w:val="595959"/>
          <w:sz w:val="20"/>
          <w:szCs w:val="20"/>
        </w:rPr>
        <w:t>first</w:t>
      </w:r>
      <w:r w:rsidR="00930017">
        <w:rPr>
          <w:rFonts w:ascii="Arial" w:eastAsia="Calibri" w:hAnsi="Arial"/>
          <w:b/>
          <w:bCs/>
          <w:color w:val="595959"/>
          <w:sz w:val="20"/>
          <w:szCs w:val="20"/>
        </w:rPr>
        <w:t xml:space="preserve"> quarter of </w:t>
      </w:r>
      <w:r w:rsidR="00A71A48">
        <w:rPr>
          <w:rFonts w:ascii="Arial" w:eastAsia="Calibri" w:hAnsi="Arial"/>
          <w:b/>
          <w:bCs/>
          <w:color w:val="595959"/>
          <w:sz w:val="20"/>
          <w:szCs w:val="20"/>
        </w:rPr>
        <w:t>2019</w:t>
      </w:r>
      <w:r w:rsidRPr="00B46F50">
        <w:rPr>
          <w:rFonts w:ascii="Arial" w:eastAsia="Calibri" w:hAnsi="Arial"/>
          <w:b/>
          <w:bCs/>
          <w:color w:val="595959"/>
          <w:sz w:val="20"/>
          <w:szCs w:val="20"/>
        </w:rPr>
        <w:t xml:space="preserve"> </w:t>
      </w:r>
    </w:p>
    <w:p w14:paraId="1A66F13F" w14:textId="61629BC2" w:rsidR="00C920E6" w:rsidRPr="00B46F50" w:rsidRDefault="00C920E6" w:rsidP="00C920E6">
      <w:p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 xml:space="preserve">The changes in the </w:t>
      </w:r>
      <w:r w:rsidRPr="00B46F50">
        <w:rPr>
          <w:rFonts w:ascii="Arial" w:eastAsia="Calibri" w:hAnsi="Arial"/>
          <w:color w:val="595959"/>
          <w:sz w:val="20"/>
          <w:szCs w:val="20"/>
        </w:rPr>
        <w:t>oil and non-oil Gross Domestic Product</w:t>
      </w:r>
      <w:r w:rsidRPr="00B46F50">
        <w:rPr>
          <w:rFonts w:ascii="Arial" w:eastAsia="Calibri" w:hAnsi="Arial"/>
          <w:bCs/>
          <w:color w:val="595959"/>
          <w:sz w:val="20"/>
          <w:szCs w:val="20"/>
        </w:rPr>
        <w:t xml:space="preserve"> were as follows:</w:t>
      </w:r>
    </w:p>
    <w:p w14:paraId="7A41B315" w14:textId="1E41D174" w:rsidR="00C920E6" w:rsidRPr="00B46F50" w:rsidRDefault="00C920E6" w:rsidP="000664CD">
      <w:pPr>
        <w:numPr>
          <w:ilvl w:val="0"/>
          <w:numId w:val="41"/>
        </w:num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 xml:space="preserve">The value added by non-oil activities </w:t>
      </w:r>
      <w:r w:rsidR="000664CD">
        <w:rPr>
          <w:rFonts w:ascii="Arial" w:eastAsia="Calibri" w:hAnsi="Arial"/>
          <w:bCs/>
          <w:color w:val="595959"/>
          <w:sz w:val="20"/>
          <w:szCs w:val="20"/>
        </w:rPr>
        <w:t>de</w:t>
      </w:r>
      <w:r w:rsidR="006A28AA">
        <w:rPr>
          <w:rFonts w:ascii="Arial" w:eastAsia="Calibri" w:hAnsi="Arial"/>
          <w:bCs/>
          <w:color w:val="595959"/>
          <w:sz w:val="20"/>
          <w:szCs w:val="20"/>
        </w:rPr>
        <w:t>creased</w:t>
      </w:r>
      <w:r w:rsidRPr="00B46F50">
        <w:rPr>
          <w:rFonts w:ascii="Arial" w:eastAsia="Calibri" w:hAnsi="Arial"/>
          <w:bCs/>
          <w:color w:val="595959"/>
          <w:sz w:val="20"/>
          <w:szCs w:val="20"/>
        </w:rPr>
        <w:t xml:space="preserve"> by </w:t>
      </w:r>
      <w:r w:rsidR="00276FA7">
        <w:rPr>
          <w:rFonts w:ascii="Arial" w:eastAsia="Calibri" w:hAnsi="Arial"/>
          <w:bCs/>
          <w:color w:val="595959"/>
          <w:sz w:val="20"/>
          <w:szCs w:val="20"/>
        </w:rPr>
        <w:t>1</w:t>
      </w:r>
      <w:r>
        <w:rPr>
          <w:rFonts w:ascii="Arial" w:eastAsia="Calibri" w:hAnsi="Arial"/>
          <w:bCs/>
          <w:color w:val="595959"/>
          <w:sz w:val="20"/>
          <w:szCs w:val="20"/>
        </w:rPr>
        <w:t>.</w:t>
      </w:r>
      <w:r w:rsidR="006A28AA">
        <w:rPr>
          <w:rFonts w:ascii="Arial" w:eastAsia="Calibri" w:hAnsi="Arial"/>
          <w:bCs/>
          <w:color w:val="595959"/>
          <w:sz w:val="20"/>
          <w:szCs w:val="20"/>
        </w:rPr>
        <w:t>2</w:t>
      </w:r>
      <w:r w:rsidRPr="00B46F50">
        <w:rPr>
          <w:rFonts w:ascii="Arial" w:eastAsia="Calibri" w:hAnsi="Arial"/>
          <w:bCs/>
          <w:color w:val="595959"/>
          <w:sz w:val="20"/>
          <w:szCs w:val="20"/>
        </w:rPr>
        <w:t>%.</w:t>
      </w:r>
    </w:p>
    <w:p w14:paraId="45802B7C" w14:textId="34B712BC" w:rsidR="00C920E6" w:rsidRPr="00B46F50" w:rsidRDefault="00C920E6" w:rsidP="000664CD">
      <w:pPr>
        <w:numPr>
          <w:ilvl w:val="0"/>
          <w:numId w:val="41"/>
        </w:numPr>
        <w:autoSpaceDE w:val="0"/>
        <w:autoSpaceDN w:val="0"/>
        <w:adjustRightInd w:val="0"/>
        <w:spacing w:after="0" w:line="360" w:lineRule="auto"/>
        <w:jc w:val="both"/>
        <w:rPr>
          <w:rFonts w:ascii="Arial" w:eastAsia="Calibri" w:hAnsi="Arial"/>
          <w:bCs/>
          <w:color w:val="595959"/>
          <w:sz w:val="20"/>
          <w:szCs w:val="20"/>
        </w:rPr>
      </w:pPr>
      <w:r w:rsidRPr="00B46F50">
        <w:rPr>
          <w:rFonts w:ascii="Arial" w:eastAsia="Calibri" w:hAnsi="Arial"/>
          <w:bCs/>
          <w:color w:val="595959"/>
          <w:sz w:val="20"/>
          <w:szCs w:val="20"/>
        </w:rPr>
        <w:t>The</w:t>
      </w:r>
      <w:r>
        <w:rPr>
          <w:rFonts w:ascii="Arial" w:eastAsia="Calibri" w:hAnsi="Arial"/>
          <w:bCs/>
          <w:color w:val="595959"/>
          <w:sz w:val="20"/>
          <w:szCs w:val="20"/>
        </w:rPr>
        <w:t xml:space="preserve"> value added by oil activities </w:t>
      </w:r>
      <w:r w:rsidR="004C0345">
        <w:rPr>
          <w:rFonts w:ascii="Arial" w:eastAsia="Calibri" w:hAnsi="Arial"/>
          <w:bCs/>
          <w:color w:val="595959"/>
          <w:sz w:val="20"/>
          <w:szCs w:val="20"/>
        </w:rPr>
        <w:t>in</w:t>
      </w:r>
      <w:r w:rsidRPr="00B46F50">
        <w:rPr>
          <w:rFonts w:ascii="Arial" w:eastAsia="Calibri" w:hAnsi="Arial"/>
          <w:bCs/>
          <w:color w:val="595959"/>
          <w:sz w:val="20"/>
          <w:szCs w:val="20"/>
        </w:rPr>
        <w:t xml:space="preserve">creased by </w:t>
      </w:r>
      <w:r w:rsidR="000664CD">
        <w:rPr>
          <w:rFonts w:ascii="Arial" w:eastAsia="Calibri" w:hAnsi="Arial"/>
          <w:bCs/>
          <w:color w:val="595959"/>
          <w:sz w:val="20"/>
          <w:szCs w:val="20"/>
        </w:rPr>
        <w:t>5.1</w:t>
      </w:r>
      <w:r w:rsidRPr="00B46F50">
        <w:rPr>
          <w:rFonts w:ascii="Arial" w:eastAsia="Calibri" w:hAnsi="Arial"/>
          <w:bCs/>
          <w:color w:val="595959"/>
          <w:sz w:val="20"/>
          <w:szCs w:val="20"/>
        </w:rPr>
        <w:t xml:space="preserve">%. </w:t>
      </w:r>
    </w:p>
    <w:p w14:paraId="4426C7CE" w14:textId="328CF82F" w:rsidR="00D3097D" w:rsidRDefault="00D3097D" w:rsidP="00D3097D">
      <w:pPr>
        <w:spacing w:after="0" w:line="360" w:lineRule="auto"/>
        <w:rPr>
          <w:rFonts w:ascii="Arial" w:eastAsia="Calibri" w:hAnsi="Arial"/>
          <w:bCs/>
          <w:color w:val="595959"/>
          <w:sz w:val="20"/>
          <w:szCs w:val="20"/>
        </w:rPr>
      </w:pPr>
    </w:p>
    <w:p w14:paraId="1C15C11B" w14:textId="613C4F0F" w:rsidR="00D3097D" w:rsidRPr="00866311" w:rsidRDefault="00D3097D" w:rsidP="00866311">
      <w:pPr>
        <w:pStyle w:val="EcoHeading1"/>
        <w:ind w:left="0"/>
      </w:pPr>
      <w:r w:rsidRPr="00866311">
        <w:t>Oil and Non-oil Gross Domestic Product at Current Prices</w:t>
      </w:r>
    </w:p>
    <w:p w14:paraId="099DE6A1" w14:textId="0A28E9F5" w:rsidR="00D3097D" w:rsidRDefault="00D3097D" w:rsidP="00D3097D">
      <w:pPr>
        <w:autoSpaceDE w:val="0"/>
        <w:autoSpaceDN w:val="0"/>
        <w:adjustRightInd w:val="0"/>
        <w:spacing w:after="0" w:line="360" w:lineRule="auto"/>
        <w:jc w:val="both"/>
        <w:rPr>
          <w:rFonts w:ascii="Arial" w:eastAsia="Calibri" w:hAnsi="Arial"/>
          <w:bCs/>
          <w:color w:val="595959"/>
          <w:sz w:val="20"/>
          <w:szCs w:val="20"/>
        </w:rPr>
      </w:pPr>
    </w:p>
    <w:p w14:paraId="09A55C59" w14:textId="3210713A" w:rsidR="00D3097D" w:rsidRDefault="00D3097D" w:rsidP="009E0DDF">
      <w:pPr>
        <w:autoSpaceDE w:val="0"/>
        <w:autoSpaceDN w:val="0"/>
        <w:adjustRightInd w:val="0"/>
        <w:spacing w:after="0" w:line="360" w:lineRule="auto"/>
        <w:jc w:val="both"/>
        <w:rPr>
          <w:rFonts w:ascii="Arial" w:eastAsia="Calibri" w:hAnsi="Arial"/>
          <w:bCs/>
          <w:color w:val="595959"/>
          <w:sz w:val="20"/>
          <w:szCs w:val="20"/>
        </w:rPr>
      </w:pPr>
      <w:r w:rsidRPr="00B2550C">
        <w:rPr>
          <w:rFonts w:ascii="Arial" w:eastAsia="Calibri" w:hAnsi="Arial"/>
          <w:bCs/>
          <w:color w:val="595959"/>
          <w:sz w:val="20"/>
          <w:szCs w:val="20"/>
        </w:rPr>
        <w:t xml:space="preserve">The GDP at </w:t>
      </w:r>
      <w:r w:rsidRPr="00C43A2D">
        <w:rPr>
          <w:rFonts w:ascii="Arial" w:eastAsia="Calibri" w:hAnsi="Arial"/>
          <w:bCs/>
          <w:color w:val="595959"/>
          <w:sz w:val="20"/>
          <w:szCs w:val="20"/>
        </w:rPr>
        <w:t xml:space="preserve">current prices, for the Emirate of Abu Dhabi, </w:t>
      </w:r>
      <w:r w:rsidR="009A3F7B">
        <w:rPr>
          <w:rFonts w:ascii="Arial" w:eastAsia="Calibri" w:hAnsi="Arial"/>
          <w:bCs/>
          <w:color w:val="595959"/>
          <w:sz w:val="20"/>
          <w:szCs w:val="20"/>
        </w:rPr>
        <w:t>increased</w:t>
      </w:r>
      <w:r w:rsidRPr="00C43A2D">
        <w:rPr>
          <w:rFonts w:ascii="Arial" w:eastAsia="Calibri" w:hAnsi="Arial"/>
          <w:bCs/>
          <w:color w:val="595959"/>
          <w:sz w:val="20"/>
          <w:szCs w:val="20"/>
        </w:rPr>
        <w:t xml:space="preserve"> by </w:t>
      </w:r>
      <w:r w:rsidR="000664CD">
        <w:rPr>
          <w:rFonts w:ascii="Arial" w:eastAsia="Calibri" w:hAnsi="Arial"/>
          <w:bCs/>
          <w:color w:val="595959"/>
          <w:sz w:val="20"/>
          <w:szCs w:val="20"/>
        </w:rPr>
        <w:t>3.3</w:t>
      </w:r>
      <w:r w:rsidRPr="00C43A2D">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930017">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Pr="00C43A2D">
        <w:rPr>
          <w:rFonts w:ascii="Arial" w:eastAsia="Calibri" w:hAnsi="Arial"/>
          <w:bCs/>
          <w:color w:val="595959"/>
          <w:sz w:val="20"/>
          <w:szCs w:val="20"/>
        </w:rPr>
        <w:t xml:space="preserve"> compared with the same quarter in </w:t>
      </w:r>
      <w:r w:rsidR="00A71A48">
        <w:rPr>
          <w:rFonts w:ascii="Arial" w:eastAsia="Calibri" w:hAnsi="Arial"/>
          <w:bCs/>
          <w:color w:val="595959"/>
          <w:sz w:val="20"/>
          <w:szCs w:val="20"/>
        </w:rPr>
        <w:t>2018</w:t>
      </w:r>
      <w:r w:rsidRPr="00C43A2D">
        <w:rPr>
          <w:rFonts w:ascii="Arial" w:eastAsia="Calibri" w:hAnsi="Arial"/>
          <w:bCs/>
          <w:color w:val="595959"/>
          <w:sz w:val="20"/>
          <w:szCs w:val="20"/>
        </w:rPr>
        <w:t xml:space="preserve">. This </w:t>
      </w:r>
      <w:r w:rsidR="009A3F7B">
        <w:rPr>
          <w:rFonts w:ascii="Arial" w:eastAsia="Calibri" w:hAnsi="Arial"/>
          <w:bCs/>
          <w:color w:val="595959"/>
          <w:sz w:val="20"/>
          <w:szCs w:val="20"/>
        </w:rPr>
        <w:t>increase</w:t>
      </w:r>
      <w:r w:rsidRPr="00C43A2D">
        <w:rPr>
          <w:rFonts w:ascii="Arial" w:eastAsia="Calibri" w:hAnsi="Arial"/>
          <w:bCs/>
          <w:color w:val="595959"/>
          <w:sz w:val="20"/>
          <w:szCs w:val="20"/>
        </w:rPr>
        <w:t xml:space="preserve"> in economic activity could </w:t>
      </w:r>
      <w:r w:rsidR="00B114D0" w:rsidRPr="00C43A2D">
        <w:rPr>
          <w:rFonts w:ascii="Arial" w:eastAsia="Calibri" w:hAnsi="Arial"/>
          <w:bCs/>
          <w:color w:val="595959"/>
          <w:sz w:val="20"/>
          <w:szCs w:val="20"/>
        </w:rPr>
        <w:t xml:space="preserve">mainly </w:t>
      </w:r>
      <w:r w:rsidRPr="00C43A2D">
        <w:rPr>
          <w:rFonts w:ascii="Arial" w:eastAsia="Calibri" w:hAnsi="Arial"/>
          <w:bCs/>
          <w:color w:val="595959"/>
          <w:sz w:val="20"/>
          <w:szCs w:val="20"/>
        </w:rPr>
        <w:t xml:space="preserve">be attributed to the value added by oil activities, which </w:t>
      </w:r>
      <w:r w:rsidR="009A3F7B" w:rsidRPr="002E6BC1">
        <w:rPr>
          <w:rFonts w:ascii="Arial" w:eastAsia="Calibri" w:hAnsi="Arial"/>
          <w:bCs/>
          <w:color w:val="595959"/>
          <w:sz w:val="20"/>
          <w:szCs w:val="20"/>
        </w:rPr>
        <w:t>r</w:t>
      </w:r>
      <w:r w:rsidR="009A3F7B" w:rsidRPr="00EB1B0D">
        <w:rPr>
          <w:rFonts w:ascii="Arial" w:eastAsia="Calibri" w:hAnsi="Arial"/>
          <w:bCs/>
          <w:color w:val="595959"/>
          <w:sz w:val="20"/>
          <w:szCs w:val="20"/>
        </w:rPr>
        <w:t>ose</w:t>
      </w:r>
      <w:r w:rsidRPr="00C21FE2">
        <w:rPr>
          <w:rFonts w:ascii="Arial" w:eastAsia="Calibri" w:hAnsi="Arial"/>
          <w:bCs/>
          <w:color w:val="595959"/>
          <w:sz w:val="20"/>
          <w:szCs w:val="20"/>
        </w:rPr>
        <w:t xml:space="preserve"> </w:t>
      </w:r>
      <w:r w:rsidRPr="002E6BC1">
        <w:rPr>
          <w:rFonts w:ascii="Arial" w:eastAsia="Calibri" w:hAnsi="Arial"/>
          <w:bCs/>
          <w:color w:val="595959"/>
          <w:sz w:val="20"/>
          <w:szCs w:val="20"/>
        </w:rPr>
        <w:t xml:space="preserve">by </w:t>
      </w:r>
      <w:r w:rsidR="000664CD">
        <w:rPr>
          <w:rFonts w:ascii="Arial" w:eastAsia="Calibri" w:hAnsi="Arial"/>
          <w:bCs/>
          <w:color w:val="595959"/>
          <w:sz w:val="20"/>
          <w:szCs w:val="20"/>
        </w:rPr>
        <w:t>11.6</w:t>
      </w:r>
      <w:r w:rsidRPr="00C43A2D">
        <w:rPr>
          <w:rFonts w:ascii="Arial" w:eastAsia="Calibri" w:hAnsi="Arial"/>
          <w:bCs/>
          <w:color w:val="595959"/>
          <w:sz w:val="20"/>
          <w:szCs w:val="20"/>
        </w:rPr>
        <w:t xml:space="preserve">%. At the same time, the value added by non-oil activities </w:t>
      </w:r>
      <w:r w:rsidR="000664CD">
        <w:rPr>
          <w:rFonts w:ascii="Arial" w:eastAsia="Calibri" w:hAnsi="Arial"/>
          <w:bCs/>
          <w:color w:val="595959"/>
          <w:sz w:val="20"/>
          <w:szCs w:val="20"/>
        </w:rPr>
        <w:t>de</w:t>
      </w:r>
      <w:r w:rsidRPr="00C43A2D">
        <w:rPr>
          <w:rFonts w:ascii="Arial" w:eastAsia="Calibri" w:hAnsi="Arial"/>
          <w:bCs/>
          <w:color w:val="595959"/>
          <w:sz w:val="20"/>
          <w:szCs w:val="20"/>
        </w:rPr>
        <w:t xml:space="preserve">creased by </w:t>
      </w:r>
      <w:r w:rsidR="006A28AA">
        <w:rPr>
          <w:rFonts w:ascii="Arial" w:eastAsia="Calibri" w:hAnsi="Arial"/>
          <w:bCs/>
          <w:color w:val="595959"/>
          <w:sz w:val="20"/>
          <w:szCs w:val="20"/>
        </w:rPr>
        <w:t>1.6</w:t>
      </w:r>
      <w:r w:rsidRPr="00C43A2D">
        <w:rPr>
          <w:rFonts w:ascii="Arial" w:eastAsia="Calibri" w:hAnsi="Arial"/>
          <w:bCs/>
          <w:color w:val="595959"/>
          <w:sz w:val="20"/>
          <w:szCs w:val="20"/>
        </w:rPr>
        <w:t>%</w:t>
      </w:r>
      <w:r w:rsidR="009E0DDF">
        <w:rPr>
          <w:rFonts w:ascii="Arial" w:eastAsia="Calibri" w:hAnsi="Arial"/>
          <w:bCs/>
          <w:color w:val="595959"/>
          <w:sz w:val="20"/>
          <w:szCs w:val="20"/>
        </w:rPr>
        <w:t xml:space="preserve"> </w:t>
      </w:r>
      <w:r w:rsidR="00B114D0" w:rsidRPr="00C43A2D">
        <w:rPr>
          <w:rFonts w:ascii="Arial" w:eastAsia="Calibri" w:hAnsi="Arial"/>
          <w:bCs/>
          <w:color w:val="595959"/>
          <w:sz w:val="20"/>
          <w:szCs w:val="20"/>
        </w:rPr>
        <w:t xml:space="preserve">following </w:t>
      </w:r>
      <w:r w:rsidR="00A4133C" w:rsidRPr="00C43A2D">
        <w:rPr>
          <w:rFonts w:ascii="Arial" w:eastAsia="Calibri" w:hAnsi="Arial"/>
          <w:bCs/>
          <w:color w:val="595959"/>
          <w:sz w:val="20"/>
          <w:szCs w:val="20"/>
        </w:rPr>
        <w:t>a</w:t>
      </w:r>
      <w:r w:rsidR="00A51387">
        <w:rPr>
          <w:rFonts w:ascii="Arial" w:eastAsia="Calibri" w:hAnsi="Arial"/>
          <w:bCs/>
          <w:color w:val="595959"/>
          <w:sz w:val="20"/>
          <w:szCs w:val="20"/>
        </w:rPr>
        <w:t>n annual</w:t>
      </w:r>
      <w:r w:rsidR="00B114D0" w:rsidRPr="00C43A2D">
        <w:rPr>
          <w:rFonts w:ascii="Arial" w:eastAsia="Calibri" w:hAnsi="Arial"/>
          <w:bCs/>
          <w:color w:val="595959"/>
          <w:sz w:val="20"/>
          <w:szCs w:val="20"/>
        </w:rPr>
        <w:t xml:space="preserve"> growth rate of </w:t>
      </w:r>
      <w:r w:rsidR="000664CD">
        <w:rPr>
          <w:rFonts w:ascii="Arial" w:eastAsia="Calibri" w:hAnsi="Arial"/>
          <w:bCs/>
          <w:color w:val="595959"/>
          <w:sz w:val="20"/>
          <w:szCs w:val="20"/>
        </w:rPr>
        <w:t>1.6</w:t>
      </w:r>
      <w:r w:rsidR="00B114D0" w:rsidRPr="00C43A2D">
        <w:rPr>
          <w:rFonts w:ascii="Arial" w:eastAsia="Calibri" w:hAnsi="Arial"/>
          <w:bCs/>
          <w:color w:val="595959"/>
          <w:sz w:val="20"/>
          <w:szCs w:val="20"/>
        </w:rPr>
        <w:t xml:space="preserve">% </w:t>
      </w:r>
      <w:r w:rsidR="00A4133C" w:rsidRPr="00C43A2D">
        <w:rPr>
          <w:rFonts w:ascii="Arial" w:eastAsia="Calibri" w:hAnsi="Arial"/>
          <w:bCs/>
          <w:color w:val="595959"/>
          <w:sz w:val="20"/>
          <w:szCs w:val="20"/>
        </w:rPr>
        <w:t xml:space="preserve">in quarter </w:t>
      </w:r>
      <w:r w:rsidR="000664CD">
        <w:rPr>
          <w:rFonts w:ascii="Arial" w:eastAsia="Calibri" w:hAnsi="Arial"/>
          <w:bCs/>
          <w:color w:val="595959"/>
          <w:sz w:val="20"/>
          <w:szCs w:val="20"/>
        </w:rPr>
        <w:t>four</w:t>
      </w:r>
      <w:r w:rsidR="00A51387">
        <w:rPr>
          <w:rFonts w:ascii="Arial" w:eastAsia="Calibri" w:hAnsi="Arial"/>
          <w:bCs/>
          <w:color w:val="595959"/>
          <w:sz w:val="20"/>
          <w:szCs w:val="20"/>
        </w:rPr>
        <w:t xml:space="preserve"> of</w:t>
      </w:r>
      <w:r w:rsidR="00DA23C1">
        <w:rPr>
          <w:rFonts w:ascii="Arial" w:eastAsia="Calibri" w:hAnsi="Arial"/>
          <w:bCs/>
          <w:color w:val="595959"/>
          <w:sz w:val="20"/>
          <w:szCs w:val="20"/>
        </w:rPr>
        <w:t xml:space="preserve"> </w:t>
      </w:r>
      <w:r w:rsidR="00A71A48">
        <w:rPr>
          <w:rFonts w:ascii="Arial" w:eastAsia="Calibri" w:hAnsi="Arial"/>
          <w:bCs/>
          <w:color w:val="595959"/>
          <w:sz w:val="20"/>
          <w:szCs w:val="20"/>
        </w:rPr>
        <w:t>201</w:t>
      </w:r>
      <w:r w:rsidR="000664CD">
        <w:rPr>
          <w:rFonts w:ascii="Arial" w:eastAsia="Calibri" w:hAnsi="Arial"/>
          <w:bCs/>
          <w:color w:val="595959"/>
          <w:sz w:val="20"/>
          <w:szCs w:val="20"/>
        </w:rPr>
        <w:t>8</w:t>
      </w:r>
      <w:r w:rsidRPr="00C43A2D">
        <w:rPr>
          <w:rFonts w:ascii="Arial" w:eastAsia="Calibri" w:hAnsi="Arial"/>
          <w:bCs/>
          <w:color w:val="595959"/>
          <w:sz w:val="20"/>
          <w:szCs w:val="20"/>
        </w:rPr>
        <w:t xml:space="preserve">. </w:t>
      </w:r>
      <w:r w:rsidR="00583E45">
        <w:rPr>
          <w:rFonts w:ascii="Arial" w:eastAsia="Calibri" w:hAnsi="Arial"/>
          <w:bCs/>
          <w:color w:val="595959"/>
          <w:sz w:val="20"/>
          <w:szCs w:val="20"/>
        </w:rPr>
        <w:t>T</w:t>
      </w:r>
      <w:r w:rsidRPr="00C43A2D">
        <w:rPr>
          <w:rFonts w:ascii="Arial" w:eastAsia="Calibri" w:hAnsi="Arial"/>
          <w:bCs/>
          <w:color w:val="595959"/>
          <w:sz w:val="20"/>
          <w:szCs w:val="20"/>
        </w:rPr>
        <w:t xml:space="preserve">he contribution of non-oil activities to total GDP at current prices </w:t>
      </w:r>
      <w:r w:rsidR="009A3F7B">
        <w:rPr>
          <w:rFonts w:ascii="Arial" w:eastAsia="Calibri" w:hAnsi="Arial"/>
          <w:bCs/>
          <w:color w:val="595959"/>
          <w:sz w:val="20"/>
          <w:szCs w:val="20"/>
        </w:rPr>
        <w:t>decreased</w:t>
      </w:r>
      <w:r w:rsidRPr="00C43A2D">
        <w:rPr>
          <w:rFonts w:ascii="Arial" w:eastAsia="Calibri" w:hAnsi="Arial"/>
          <w:bCs/>
          <w:color w:val="595959"/>
          <w:sz w:val="20"/>
          <w:szCs w:val="20"/>
        </w:rPr>
        <w:t xml:space="preserve"> from </w:t>
      </w:r>
      <w:r w:rsidR="006A28AA">
        <w:rPr>
          <w:rFonts w:ascii="Arial" w:eastAsia="Calibri" w:hAnsi="Arial"/>
          <w:bCs/>
          <w:color w:val="595959"/>
          <w:sz w:val="20"/>
          <w:szCs w:val="20"/>
        </w:rPr>
        <w:t>6</w:t>
      </w:r>
      <w:r w:rsidR="000664CD">
        <w:rPr>
          <w:rFonts w:ascii="Arial" w:eastAsia="Calibri" w:hAnsi="Arial"/>
          <w:bCs/>
          <w:color w:val="595959"/>
          <w:sz w:val="20"/>
          <w:szCs w:val="20"/>
        </w:rPr>
        <w:t>3</w:t>
      </w:r>
      <w:r w:rsidR="006A28AA">
        <w:rPr>
          <w:rFonts w:ascii="Arial" w:eastAsia="Calibri" w:hAnsi="Arial"/>
          <w:bCs/>
          <w:color w:val="595959"/>
          <w:sz w:val="20"/>
          <w:szCs w:val="20"/>
        </w:rPr>
        <w:t>.</w:t>
      </w:r>
      <w:r w:rsidR="000664CD">
        <w:rPr>
          <w:rFonts w:ascii="Arial" w:eastAsia="Calibri" w:hAnsi="Arial"/>
          <w:bCs/>
          <w:color w:val="595959"/>
          <w:sz w:val="20"/>
          <w:szCs w:val="20"/>
        </w:rPr>
        <w:t>2</w:t>
      </w:r>
      <w:r w:rsidRPr="00C43A2D">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930017">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2018</w:t>
      </w:r>
      <w:r w:rsidRPr="00C43A2D">
        <w:rPr>
          <w:rFonts w:ascii="Arial" w:eastAsia="Calibri" w:hAnsi="Arial"/>
          <w:bCs/>
          <w:color w:val="595959"/>
          <w:sz w:val="20"/>
          <w:szCs w:val="20"/>
        </w:rPr>
        <w:t xml:space="preserve"> to</w:t>
      </w:r>
      <w:r w:rsidR="00930017">
        <w:rPr>
          <w:rFonts w:ascii="Arial" w:eastAsia="Calibri" w:hAnsi="Arial"/>
          <w:bCs/>
          <w:color w:val="595959"/>
          <w:sz w:val="20"/>
          <w:szCs w:val="20"/>
        </w:rPr>
        <w:t xml:space="preserve"> </w:t>
      </w:r>
      <w:r w:rsidR="000664CD">
        <w:rPr>
          <w:rFonts w:ascii="Arial" w:eastAsia="Calibri" w:hAnsi="Arial"/>
          <w:bCs/>
          <w:color w:val="595959"/>
          <w:sz w:val="20"/>
          <w:szCs w:val="20"/>
        </w:rPr>
        <w:t>60.2</w:t>
      </w:r>
      <w:r w:rsidRPr="00C43A2D">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930017">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Pr="00C43A2D">
        <w:rPr>
          <w:rFonts w:ascii="Arial" w:eastAsia="Calibri" w:hAnsi="Arial"/>
          <w:bCs/>
          <w:color w:val="595959"/>
          <w:sz w:val="20"/>
          <w:szCs w:val="20"/>
        </w:rPr>
        <w:t xml:space="preserve">. </w:t>
      </w:r>
    </w:p>
    <w:p w14:paraId="562327CD" w14:textId="0600569F" w:rsidR="00270EF0" w:rsidRDefault="00270EF0" w:rsidP="00E50B44">
      <w:pPr>
        <w:autoSpaceDE w:val="0"/>
        <w:autoSpaceDN w:val="0"/>
        <w:adjustRightInd w:val="0"/>
        <w:spacing w:after="0" w:line="360" w:lineRule="auto"/>
        <w:jc w:val="both"/>
        <w:rPr>
          <w:rFonts w:ascii="Arial" w:eastAsia="Calibri" w:hAnsi="Arial"/>
          <w:bCs/>
          <w:color w:val="595959"/>
          <w:sz w:val="20"/>
          <w:szCs w:val="20"/>
        </w:rPr>
      </w:pPr>
    </w:p>
    <w:p w14:paraId="1DBACF99" w14:textId="5734E6A2" w:rsidR="00270EF0" w:rsidRPr="00B2550C" w:rsidRDefault="00270EF0" w:rsidP="0028521F">
      <w:pPr>
        <w:autoSpaceDE w:val="0"/>
        <w:autoSpaceDN w:val="0"/>
        <w:adjustRightInd w:val="0"/>
        <w:spacing w:after="0" w:line="360" w:lineRule="auto"/>
        <w:jc w:val="both"/>
        <w:rPr>
          <w:rFonts w:ascii="Arial" w:eastAsia="Calibri" w:hAnsi="Arial"/>
          <w:bCs/>
          <w:color w:val="595959"/>
          <w:sz w:val="20"/>
          <w:szCs w:val="20"/>
        </w:rPr>
      </w:pPr>
      <w:r w:rsidRPr="00A21639">
        <w:rPr>
          <w:rFonts w:ascii="Arial" w:eastAsia="Calibri" w:hAnsi="Arial"/>
          <w:bCs/>
          <w:color w:val="595959"/>
          <w:sz w:val="20"/>
          <w:szCs w:val="20"/>
        </w:rPr>
        <w:t xml:space="preserve">Compared with the previous quarter, the GDP at current prices </w:t>
      </w:r>
      <w:r w:rsidR="000664CD">
        <w:rPr>
          <w:rFonts w:ascii="Arial" w:eastAsia="Calibri" w:hAnsi="Arial"/>
          <w:bCs/>
          <w:color w:val="595959"/>
          <w:sz w:val="20"/>
          <w:szCs w:val="20"/>
        </w:rPr>
        <w:t>de</w:t>
      </w:r>
      <w:r w:rsidRPr="00A21639">
        <w:rPr>
          <w:rFonts w:ascii="Arial" w:eastAsia="Calibri" w:hAnsi="Arial"/>
          <w:bCs/>
          <w:color w:val="595959"/>
          <w:sz w:val="20"/>
          <w:szCs w:val="20"/>
        </w:rPr>
        <w:t xml:space="preserve">creased by </w:t>
      </w:r>
      <w:r w:rsidR="000664CD">
        <w:rPr>
          <w:rFonts w:ascii="Arial" w:eastAsia="Calibri" w:hAnsi="Arial"/>
          <w:bCs/>
          <w:color w:val="595959"/>
          <w:sz w:val="20"/>
          <w:szCs w:val="20"/>
        </w:rPr>
        <w:t>6.9</w:t>
      </w:r>
      <w:r w:rsidRPr="00A21639">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Pr="00A21639">
        <w:rPr>
          <w:rFonts w:ascii="Arial" w:eastAsia="Calibri" w:hAnsi="Arial"/>
          <w:bCs/>
          <w:color w:val="595959"/>
          <w:sz w:val="20"/>
          <w:szCs w:val="20"/>
        </w:rPr>
        <w:t xml:space="preserve"> quarter of </w:t>
      </w:r>
      <w:r w:rsidR="00A71A48">
        <w:rPr>
          <w:rFonts w:ascii="Arial" w:eastAsia="Calibri" w:hAnsi="Arial"/>
          <w:bCs/>
          <w:color w:val="595959"/>
          <w:sz w:val="20"/>
          <w:szCs w:val="20"/>
        </w:rPr>
        <w:t>2019</w:t>
      </w:r>
      <w:r w:rsidRPr="00A21639">
        <w:rPr>
          <w:rFonts w:ascii="Arial" w:eastAsia="Calibri" w:hAnsi="Arial"/>
          <w:bCs/>
          <w:color w:val="595959"/>
          <w:sz w:val="20"/>
          <w:szCs w:val="20"/>
        </w:rPr>
        <w:t>.</w:t>
      </w:r>
      <w:r w:rsidR="000664CD">
        <w:rPr>
          <w:rFonts w:ascii="Arial" w:eastAsia="Calibri" w:hAnsi="Arial"/>
          <w:bCs/>
          <w:color w:val="595959"/>
          <w:sz w:val="20"/>
          <w:szCs w:val="20"/>
        </w:rPr>
        <w:t xml:space="preserve"> The value added by oil activities reached AED </w:t>
      </w:r>
      <w:r w:rsidR="003013BC">
        <w:rPr>
          <w:rFonts w:ascii="Arial" w:eastAsia="Calibri" w:hAnsi="Arial"/>
          <w:bCs/>
          <w:color w:val="595959"/>
          <w:sz w:val="20"/>
          <w:szCs w:val="20"/>
        </w:rPr>
        <w:t>89,918</w:t>
      </w:r>
      <w:r w:rsidR="000664CD">
        <w:rPr>
          <w:rFonts w:ascii="Arial" w:eastAsia="Calibri" w:hAnsi="Arial"/>
          <w:bCs/>
          <w:color w:val="595959"/>
          <w:sz w:val="20"/>
          <w:szCs w:val="20"/>
        </w:rPr>
        <w:t xml:space="preserve"> million in Q1 2019 compared with AED </w:t>
      </w:r>
      <w:r w:rsidR="003013BC">
        <w:rPr>
          <w:rFonts w:ascii="Arial" w:eastAsia="Calibri" w:hAnsi="Arial"/>
          <w:bCs/>
          <w:color w:val="595959"/>
          <w:sz w:val="20"/>
          <w:szCs w:val="20"/>
        </w:rPr>
        <w:t>102,746</w:t>
      </w:r>
      <w:r w:rsidR="000664CD">
        <w:rPr>
          <w:rFonts w:ascii="Arial" w:eastAsia="Calibri" w:hAnsi="Arial"/>
          <w:bCs/>
          <w:color w:val="595959"/>
          <w:sz w:val="20"/>
          <w:szCs w:val="20"/>
        </w:rPr>
        <w:t xml:space="preserve"> million in Q4 2018</w:t>
      </w:r>
      <w:r w:rsidR="004B1502">
        <w:rPr>
          <w:rFonts w:ascii="Arial" w:eastAsia="Calibri" w:hAnsi="Arial"/>
          <w:bCs/>
          <w:color w:val="595959"/>
          <w:sz w:val="20"/>
          <w:szCs w:val="20"/>
        </w:rPr>
        <w:t>.</w:t>
      </w:r>
      <w:r w:rsidRPr="00A21639">
        <w:rPr>
          <w:rFonts w:ascii="Arial" w:eastAsia="Calibri" w:hAnsi="Arial"/>
          <w:bCs/>
          <w:color w:val="595959"/>
          <w:sz w:val="20"/>
          <w:szCs w:val="20"/>
        </w:rPr>
        <w:t xml:space="preserve"> </w:t>
      </w:r>
      <w:r w:rsidR="0028521F">
        <w:rPr>
          <w:rFonts w:ascii="Arial" w:eastAsia="Calibri" w:hAnsi="Arial"/>
          <w:bCs/>
          <w:color w:val="595959"/>
          <w:sz w:val="20"/>
          <w:szCs w:val="20"/>
        </w:rPr>
        <w:t>The value added for non-oil activities reached AED 136,121 million in Q1 2019 compared to AED 140,158 million in Q1 2018.</w:t>
      </w:r>
    </w:p>
    <w:p w14:paraId="27D47C1B" w14:textId="1E1A859E" w:rsidR="00D3097D" w:rsidRPr="00EE0BAD" w:rsidRDefault="00D3097D" w:rsidP="00D3097D">
      <w:pPr>
        <w:autoSpaceDE w:val="0"/>
        <w:autoSpaceDN w:val="0"/>
        <w:adjustRightInd w:val="0"/>
        <w:spacing w:after="0" w:line="360" w:lineRule="auto"/>
        <w:rPr>
          <w:rFonts w:ascii="Arial" w:hAnsi="Arial"/>
          <w:noProof/>
          <w:color w:val="595959"/>
          <w:sz w:val="14"/>
          <w:szCs w:val="14"/>
        </w:rPr>
      </w:pPr>
    </w:p>
    <w:p w14:paraId="21FBD005" w14:textId="225C93B3" w:rsidR="00BA157A" w:rsidRDefault="00D3097D" w:rsidP="00BA157A">
      <w:pPr>
        <w:pStyle w:val="EcoTableChartTitles"/>
        <w:rPr>
          <w:b/>
          <w:bCs/>
        </w:rPr>
      </w:pPr>
      <w:r w:rsidRPr="008A0579">
        <w:rPr>
          <w:color w:val="D6A461" w:themeColor="text2"/>
        </w:rPr>
        <w:t xml:space="preserve">Figure 2: </w:t>
      </w:r>
      <w:r w:rsidRPr="00311CEC">
        <w:rPr>
          <w:b/>
          <w:bCs/>
        </w:rPr>
        <w:t>Percentage change</w:t>
      </w:r>
      <w:r w:rsidRPr="00311CEC">
        <w:rPr>
          <w:b/>
          <w:bCs/>
          <w:rtl/>
        </w:rPr>
        <w:t xml:space="preserve"> </w:t>
      </w:r>
      <w:r w:rsidR="00D614DE" w:rsidRPr="00311CEC">
        <w:rPr>
          <w:b/>
          <w:bCs/>
        </w:rPr>
        <w:t>in</w:t>
      </w:r>
      <w:r w:rsidRPr="00311CEC">
        <w:rPr>
          <w:b/>
          <w:bCs/>
        </w:rPr>
        <w:t xml:space="preserve"> Gross Domestic Product at current price</w:t>
      </w:r>
    </w:p>
    <w:p w14:paraId="1FA15232" w14:textId="77777777" w:rsidR="00B93361" w:rsidRDefault="00B93361" w:rsidP="00554D04">
      <w:pPr>
        <w:pStyle w:val="EcoTableChartTitles"/>
        <w:rPr>
          <w:rFonts w:eastAsia="Calibri"/>
          <w:color w:val="595959" w:themeColor="text1"/>
          <w:sz w:val="18"/>
          <w:szCs w:val="18"/>
          <w:lang w:val="en-GB" w:eastAsia="en-GB"/>
        </w:rPr>
      </w:pPr>
      <w:r>
        <w:rPr>
          <w:rFonts w:eastAsia="Calibri"/>
          <w:noProof/>
          <w:color w:val="595959" w:themeColor="text1"/>
          <w:sz w:val="18"/>
          <w:szCs w:val="18"/>
          <w:lang w:bidi="ar-SA"/>
        </w:rPr>
        <w:drawing>
          <wp:inline distT="0" distB="0" distL="0" distR="0" wp14:anchorId="314AE339" wp14:editId="6DF8213D">
            <wp:extent cx="4389120" cy="267349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3251" cy="2736925"/>
                    </a:xfrm>
                    <a:prstGeom prst="rect">
                      <a:avLst/>
                    </a:prstGeom>
                    <a:noFill/>
                    <a:ln>
                      <a:noFill/>
                    </a:ln>
                  </pic:spPr>
                </pic:pic>
              </a:graphicData>
            </a:graphic>
          </wp:inline>
        </w:drawing>
      </w:r>
    </w:p>
    <w:p w14:paraId="2CE3CFB8" w14:textId="2380A900" w:rsidR="00D3097D" w:rsidRPr="00B2550C" w:rsidRDefault="00D3097D" w:rsidP="009E0DDF">
      <w:pPr>
        <w:pStyle w:val="EcoTableChartTitles"/>
      </w:pPr>
      <w:r w:rsidRPr="00BA157A">
        <w:rPr>
          <w:rFonts w:eastAsia="Calibri"/>
          <w:color w:val="595959" w:themeColor="text1"/>
          <w:sz w:val="18"/>
          <w:szCs w:val="18"/>
          <w:lang w:val="en-GB" w:eastAsia="en-GB"/>
        </w:rPr>
        <w:lastRenderedPageBreak/>
        <w:t>Source: Statistics Centre - Abu Dhabi</w:t>
      </w:r>
      <w:r w:rsidRPr="007B6542">
        <w:rPr>
          <w:b/>
          <w:bCs/>
          <w:color w:val="D6A461" w:themeColor="text2"/>
        </w:rPr>
        <w:t>Figure 3:</w:t>
      </w:r>
      <w:r w:rsidRPr="008A0579">
        <w:rPr>
          <w:color w:val="D6A461" w:themeColor="text2"/>
        </w:rPr>
        <w:t xml:space="preserve"> </w:t>
      </w:r>
      <w:r w:rsidRPr="00576ACA">
        <w:rPr>
          <w:b/>
          <w:bCs/>
        </w:rPr>
        <w:t xml:space="preserve">Percentage contribution to Gross Domestic Product at current prices, </w:t>
      </w:r>
      <w:r w:rsidR="008B41C6" w:rsidRPr="00576ACA">
        <w:rPr>
          <w:b/>
          <w:bCs/>
        </w:rPr>
        <w:t>Q</w:t>
      </w:r>
      <w:r w:rsidR="009E0DDF">
        <w:rPr>
          <w:b/>
          <w:bCs/>
        </w:rPr>
        <w:t>1</w:t>
      </w:r>
      <w:r w:rsidR="008B41C6" w:rsidRPr="00576ACA">
        <w:rPr>
          <w:b/>
          <w:bCs/>
        </w:rPr>
        <w:t xml:space="preserve"> </w:t>
      </w:r>
      <w:r w:rsidR="00A71A48">
        <w:rPr>
          <w:b/>
          <w:bCs/>
        </w:rPr>
        <w:t>2019</w:t>
      </w:r>
    </w:p>
    <w:p w14:paraId="71035393" w14:textId="5ECEA000" w:rsidR="007B6542" w:rsidRDefault="007217B6" w:rsidP="00AB00C4">
      <w:pPr>
        <w:tabs>
          <w:tab w:val="left" w:pos="1080"/>
          <w:tab w:val="left" w:pos="3319"/>
        </w:tabs>
        <w:autoSpaceDE w:val="0"/>
        <w:autoSpaceDN w:val="0"/>
        <w:adjustRightInd w:val="0"/>
        <w:spacing w:after="0" w:line="240" w:lineRule="auto"/>
        <w:rPr>
          <w:rFonts w:ascii="Arial" w:eastAsia="Calibri" w:hAnsi="Arial" w:cs="Tahoma"/>
          <w:b/>
          <w:bCs/>
          <w:color w:val="595959" w:themeColor="text1"/>
          <w:sz w:val="20"/>
          <w:szCs w:val="20"/>
          <w:lang w:val="en-GB" w:eastAsia="en-GB"/>
        </w:rPr>
      </w:pPr>
      <w:r>
        <w:rPr>
          <w:noProof/>
        </w:rPr>
        <w:drawing>
          <wp:inline distT="0" distB="0" distL="0" distR="0" wp14:anchorId="37DCFE56" wp14:editId="7D485C40">
            <wp:extent cx="4162348" cy="217993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48F93" w14:textId="6844854E" w:rsidR="00D3097D" w:rsidRPr="00AB00C4" w:rsidRDefault="00D3097D" w:rsidP="00AB00C4">
      <w:pPr>
        <w:tabs>
          <w:tab w:val="left" w:pos="1080"/>
          <w:tab w:val="left" w:pos="3319"/>
        </w:tabs>
        <w:autoSpaceDE w:val="0"/>
        <w:autoSpaceDN w:val="0"/>
        <w:adjustRightInd w:val="0"/>
        <w:spacing w:after="0" w:line="240" w:lineRule="auto"/>
        <w:rPr>
          <w:rFonts w:ascii="Arial" w:hAnsi="Arial"/>
          <w:noProof/>
          <w:color w:val="7F7F7F"/>
          <w:sz w:val="20"/>
          <w:szCs w:val="20"/>
        </w:rPr>
      </w:pPr>
      <w:r w:rsidRPr="00B74E1F">
        <w:rPr>
          <w:rFonts w:ascii="Arial" w:eastAsia="Calibri" w:hAnsi="Arial" w:cs="Tahoma"/>
          <w:b/>
          <w:bCs/>
          <w:color w:val="595959" w:themeColor="text1"/>
          <w:sz w:val="20"/>
          <w:szCs w:val="20"/>
          <w:lang w:val="en-GB" w:eastAsia="en-GB"/>
        </w:rPr>
        <w:t>Source: Statistics Centre - Abu Dhabi</w:t>
      </w:r>
    </w:p>
    <w:p w14:paraId="66971EFD" w14:textId="28F3CFA7" w:rsidR="00C920E6" w:rsidRDefault="00C920E6" w:rsidP="0089209C">
      <w:pPr>
        <w:pStyle w:val="EcoHeading1"/>
        <w:rPr>
          <w:rFonts w:eastAsia="Calibri"/>
        </w:rPr>
      </w:pPr>
    </w:p>
    <w:p w14:paraId="6145353C" w14:textId="279749A0" w:rsidR="00D3097D" w:rsidRPr="00866311" w:rsidRDefault="00D3097D" w:rsidP="00866311">
      <w:pPr>
        <w:pStyle w:val="EcoHeading1"/>
        <w:ind w:left="0"/>
      </w:pPr>
      <w:r w:rsidRPr="00866311">
        <w:t>Oil and Non-oil Gross Domestic Product at Constant Prices</w:t>
      </w:r>
    </w:p>
    <w:p w14:paraId="37181D22" w14:textId="382C9C28" w:rsidR="00D3097D" w:rsidRPr="00414B75" w:rsidRDefault="00D3097D" w:rsidP="00D3097D">
      <w:pPr>
        <w:autoSpaceDE w:val="0"/>
        <w:autoSpaceDN w:val="0"/>
        <w:adjustRightInd w:val="0"/>
        <w:spacing w:after="0" w:line="240" w:lineRule="auto"/>
        <w:contextualSpacing/>
        <w:rPr>
          <w:rFonts w:ascii="Arial" w:hAnsi="Arial"/>
          <w:color w:val="7F7F7F"/>
          <w:sz w:val="16"/>
          <w:szCs w:val="16"/>
        </w:rPr>
      </w:pPr>
    </w:p>
    <w:p w14:paraId="33226F21" w14:textId="10ABF1F0" w:rsidR="00D3097D" w:rsidRDefault="00D3097D" w:rsidP="000664CD">
      <w:pPr>
        <w:autoSpaceDE w:val="0"/>
        <w:autoSpaceDN w:val="0"/>
        <w:adjustRightInd w:val="0"/>
        <w:spacing w:after="0" w:line="360" w:lineRule="auto"/>
        <w:jc w:val="both"/>
        <w:rPr>
          <w:rFonts w:ascii="Arial" w:eastAsia="Calibri" w:hAnsi="Arial"/>
          <w:bCs/>
          <w:color w:val="595959"/>
          <w:sz w:val="20"/>
          <w:szCs w:val="20"/>
        </w:rPr>
      </w:pPr>
      <w:r w:rsidRPr="00B2550C">
        <w:rPr>
          <w:rFonts w:ascii="Arial" w:eastAsia="Calibri" w:hAnsi="Arial"/>
          <w:bCs/>
          <w:color w:val="595959"/>
          <w:sz w:val="20"/>
          <w:szCs w:val="20"/>
        </w:rPr>
        <w:t xml:space="preserve">GDP measured at constant </w:t>
      </w:r>
      <w:r w:rsidRPr="00B46F50">
        <w:rPr>
          <w:rFonts w:ascii="Arial" w:eastAsia="Calibri" w:hAnsi="Arial"/>
          <w:bCs/>
          <w:color w:val="595959"/>
          <w:sz w:val="20"/>
          <w:szCs w:val="20"/>
        </w:rPr>
        <w:t xml:space="preserve">prices </w:t>
      </w:r>
      <w:r w:rsidR="003273B3">
        <w:rPr>
          <w:rFonts w:ascii="Arial" w:eastAsia="Calibri" w:hAnsi="Arial"/>
          <w:bCs/>
          <w:color w:val="595959"/>
          <w:sz w:val="20"/>
          <w:szCs w:val="20"/>
        </w:rPr>
        <w:t>in</w:t>
      </w:r>
      <w:r w:rsidRPr="00B46F50">
        <w:rPr>
          <w:rFonts w:ascii="Arial" w:eastAsia="Calibri" w:hAnsi="Arial"/>
          <w:bCs/>
          <w:color w:val="595959"/>
          <w:sz w:val="20"/>
          <w:szCs w:val="20"/>
        </w:rPr>
        <w:t xml:space="preserve">creased by </w:t>
      </w:r>
      <w:r w:rsidR="000664CD">
        <w:rPr>
          <w:rFonts w:ascii="Arial" w:eastAsia="Calibri" w:hAnsi="Arial"/>
          <w:bCs/>
          <w:color w:val="595959"/>
          <w:sz w:val="20"/>
          <w:szCs w:val="20"/>
        </w:rPr>
        <w:t>5</w:t>
      </w:r>
      <w:r w:rsidR="003021D4">
        <w:rPr>
          <w:rFonts w:ascii="Arial" w:eastAsia="Calibri" w:hAnsi="Arial"/>
          <w:bCs/>
          <w:color w:val="595959"/>
          <w:sz w:val="20"/>
          <w:szCs w:val="20"/>
        </w:rPr>
        <w:t>.7</w:t>
      </w:r>
      <w:r w:rsidRPr="00B46F50">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930017">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Pr="00B46F50">
        <w:rPr>
          <w:rFonts w:ascii="Arial" w:eastAsia="Calibri" w:hAnsi="Arial"/>
          <w:bCs/>
          <w:color w:val="595959"/>
          <w:sz w:val="20"/>
          <w:szCs w:val="20"/>
        </w:rPr>
        <w:t xml:space="preserve">, compared with the </w:t>
      </w:r>
      <w:r w:rsidR="00A71A48">
        <w:rPr>
          <w:rFonts w:ascii="Arial" w:eastAsia="Calibri" w:hAnsi="Arial"/>
          <w:bCs/>
          <w:color w:val="595959"/>
          <w:sz w:val="20"/>
          <w:szCs w:val="20"/>
        </w:rPr>
        <w:t>first</w:t>
      </w:r>
      <w:r w:rsidR="00930017">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2018</w:t>
      </w:r>
      <w:r w:rsidRPr="00B46F50">
        <w:rPr>
          <w:rFonts w:ascii="Arial" w:eastAsia="Calibri" w:hAnsi="Arial"/>
          <w:bCs/>
          <w:color w:val="595959"/>
          <w:sz w:val="20"/>
          <w:szCs w:val="20"/>
        </w:rPr>
        <w:t xml:space="preserve">. The value added at constant prices of non-oil activities </w:t>
      </w:r>
      <w:r w:rsidR="00583E45">
        <w:rPr>
          <w:rFonts w:ascii="Arial" w:eastAsia="Calibri" w:hAnsi="Arial"/>
          <w:bCs/>
          <w:color w:val="595959"/>
          <w:sz w:val="20"/>
          <w:szCs w:val="20"/>
        </w:rPr>
        <w:t>de</w:t>
      </w:r>
      <w:r w:rsidR="003E3AEA">
        <w:rPr>
          <w:rFonts w:ascii="Arial" w:eastAsia="Calibri" w:hAnsi="Arial"/>
          <w:bCs/>
          <w:color w:val="595959"/>
          <w:sz w:val="20"/>
          <w:szCs w:val="20"/>
        </w:rPr>
        <w:t xml:space="preserve">creased </w:t>
      </w:r>
      <w:r w:rsidRPr="00B46F50">
        <w:rPr>
          <w:rFonts w:ascii="Arial" w:eastAsia="Calibri" w:hAnsi="Arial"/>
          <w:bCs/>
          <w:color w:val="595959"/>
          <w:sz w:val="20"/>
          <w:szCs w:val="20"/>
        </w:rPr>
        <w:t xml:space="preserve">by </w:t>
      </w:r>
      <w:r w:rsidR="000664CD">
        <w:rPr>
          <w:rFonts w:ascii="Arial" w:eastAsia="Calibri" w:hAnsi="Arial"/>
          <w:bCs/>
          <w:color w:val="595959"/>
          <w:sz w:val="20"/>
          <w:szCs w:val="20"/>
        </w:rPr>
        <w:t>0</w:t>
      </w:r>
      <w:r w:rsidR="003021D4">
        <w:rPr>
          <w:rFonts w:ascii="Arial" w:eastAsia="Calibri" w:hAnsi="Arial"/>
          <w:bCs/>
          <w:color w:val="595959"/>
          <w:sz w:val="20"/>
          <w:szCs w:val="20"/>
        </w:rPr>
        <w:t>.</w:t>
      </w:r>
      <w:r w:rsidR="000664CD">
        <w:rPr>
          <w:rFonts w:ascii="Arial" w:eastAsia="Calibri" w:hAnsi="Arial"/>
          <w:bCs/>
          <w:color w:val="595959"/>
          <w:sz w:val="20"/>
          <w:szCs w:val="20"/>
        </w:rPr>
        <w:t>9</w:t>
      </w:r>
      <w:r w:rsidRPr="00B46F50">
        <w:rPr>
          <w:rFonts w:ascii="Arial" w:eastAsia="Calibri" w:hAnsi="Arial"/>
          <w:bCs/>
          <w:color w:val="595959"/>
          <w:sz w:val="20"/>
          <w:szCs w:val="20"/>
        </w:rPr>
        <w:t xml:space="preserve">% while oil activities </w:t>
      </w:r>
      <w:r w:rsidR="00930017">
        <w:rPr>
          <w:rFonts w:ascii="Arial" w:eastAsia="Calibri" w:hAnsi="Arial"/>
          <w:bCs/>
          <w:color w:val="595959"/>
          <w:sz w:val="20"/>
          <w:szCs w:val="20"/>
        </w:rPr>
        <w:t>increased</w:t>
      </w:r>
      <w:r w:rsidRPr="00B46F50">
        <w:rPr>
          <w:rFonts w:ascii="Arial" w:eastAsia="Calibri" w:hAnsi="Arial"/>
          <w:bCs/>
          <w:color w:val="595959"/>
          <w:sz w:val="20"/>
          <w:szCs w:val="20"/>
        </w:rPr>
        <w:t xml:space="preserve"> by </w:t>
      </w:r>
      <w:r w:rsidR="000664CD">
        <w:rPr>
          <w:rFonts w:ascii="Arial" w:eastAsia="Calibri" w:hAnsi="Arial"/>
          <w:bCs/>
          <w:color w:val="595959"/>
          <w:sz w:val="20"/>
          <w:szCs w:val="20"/>
        </w:rPr>
        <w:t>12</w:t>
      </w:r>
      <w:r w:rsidR="003021D4">
        <w:rPr>
          <w:rFonts w:ascii="Arial" w:eastAsia="Calibri" w:hAnsi="Arial"/>
          <w:bCs/>
          <w:color w:val="595959"/>
          <w:sz w:val="20"/>
          <w:szCs w:val="20"/>
        </w:rPr>
        <w:t>.</w:t>
      </w:r>
      <w:r w:rsidR="000664CD">
        <w:rPr>
          <w:rFonts w:ascii="Arial" w:eastAsia="Calibri" w:hAnsi="Arial"/>
          <w:bCs/>
          <w:color w:val="595959"/>
          <w:sz w:val="20"/>
          <w:szCs w:val="20"/>
        </w:rPr>
        <w:t>8</w:t>
      </w:r>
      <w:r w:rsidRPr="00B46F50">
        <w:rPr>
          <w:rFonts w:ascii="Arial" w:eastAsia="Calibri" w:hAnsi="Arial"/>
          <w:bCs/>
          <w:color w:val="595959"/>
          <w:sz w:val="20"/>
          <w:szCs w:val="20"/>
        </w:rPr>
        <w:t xml:space="preserve">%. </w:t>
      </w:r>
      <w:r w:rsidR="00894620" w:rsidRPr="00894620">
        <w:rPr>
          <w:rFonts w:ascii="Arial" w:eastAsia="Calibri" w:hAnsi="Arial"/>
          <w:bCs/>
          <w:color w:val="595959"/>
          <w:sz w:val="20"/>
          <w:szCs w:val="20"/>
        </w:rPr>
        <w:t>As a result, the contribution of non-oil activities to total GDP at constant prices decreased from 5</w:t>
      </w:r>
      <w:r w:rsidR="000664CD">
        <w:rPr>
          <w:rFonts w:ascii="Arial" w:eastAsia="Calibri" w:hAnsi="Arial"/>
          <w:bCs/>
          <w:color w:val="595959"/>
          <w:sz w:val="20"/>
          <w:szCs w:val="20"/>
        </w:rPr>
        <w:t>1</w:t>
      </w:r>
      <w:r w:rsidR="00894620" w:rsidRPr="00894620">
        <w:rPr>
          <w:rFonts w:ascii="Arial" w:eastAsia="Calibri" w:hAnsi="Arial"/>
          <w:bCs/>
          <w:color w:val="595959"/>
          <w:sz w:val="20"/>
          <w:szCs w:val="20"/>
        </w:rPr>
        <w:t>.</w:t>
      </w:r>
      <w:r w:rsidR="000664CD">
        <w:rPr>
          <w:rFonts w:ascii="Arial" w:eastAsia="Calibri" w:hAnsi="Arial"/>
          <w:bCs/>
          <w:color w:val="595959"/>
          <w:sz w:val="20"/>
          <w:szCs w:val="20"/>
        </w:rPr>
        <w:t>7</w:t>
      </w:r>
      <w:r w:rsidR="00894620" w:rsidRPr="00894620">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894620" w:rsidRPr="00894620">
        <w:rPr>
          <w:rFonts w:ascii="Arial" w:eastAsia="Calibri" w:hAnsi="Arial"/>
          <w:bCs/>
          <w:color w:val="595959"/>
          <w:sz w:val="20"/>
          <w:szCs w:val="20"/>
        </w:rPr>
        <w:t xml:space="preserve"> quarter of </w:t>
      </w:r>
      <w:r w:rsidR="00A71A48">
        <w:rPr>
          <w:rFonts w:ascii="Arial" w:eastAsia="Calibri" w:hAnsi="Arial"/>
          <w:bCs/>
          <w:color w:val="595959"/>
          <w:sz w:val="20"/>
          <w:szCs w:val="20"/>
        </w:rPr>
        <w:t>2018</w:t>
      </w:r>
      <w:r w:rsidR="00894620" w:rsidRPr="00894620">
        <w:rPr>
          <w:rFonts w:ascii="Arial" w:eastAsia="Calibri" w:hAnsi="Arial"/>
          <w:bCs/>
          <w:color w:val="595959"/>
          <w:sz w:val="20"/>
          <w:szCs w:val="20"/>
        </w:rPr>
        <w:t xml:space="preserve"> to </w:t>
      </w:r>
      <w:r w:rsidR="000664CD">
        <w:rPr>
          <w:rFonts w:ascii="Arial" w:eastAsia="Calibri" w:hAnsi="Arial"/>
          <w:bCs/>
          <w:color w:val="595959"/>
          <w:sz w:val="20"/>
          <w:szCs w:val="20"/>
        </w:rPr>
        <w:t>48</w:t>
      </w:r>
      <w:r w:rsidR="00894620" w:rsidRPr="00894620">
        <w:rPr>
          <w:rFonts w:ascii="Arial" w:eastAsia="Calibri" w:hAnsi="Arial"/>
          <w:bCs/>
          <w:color w:val="595959"/>
          <w:sz w:val="20"/>
          <w:szCs w:val="20"/>
        </w:rPr>
        <w:t>.</w:t>
      </w:r>
      <w:r w:rsidR="000664CD">
        <w:rPr>
          <w:rFonts w:ascii="Arial" w:eastAsia="Calibri" w:hAnsi="Arial"/>
          <w:bCs/>
          <w:color w:val="595959"/>
          <w:sz w:val="20"/>
          <w:szCs w:val="20"/>
        </w:rPr>
        <w:t>4</w:t>
      </w:r>
      <w:r w:rsidR="00894620" w:rsidRPr="00894620">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894620" w:rsidRPr="00894620">
        <w:rPr>
          <w:rFonts w:ascii="Arial" w:eastAsia="Calibri" w:hAnsi="Arial"/>
          <w:bCs/>
          <w:color w:val="595959"/>
          <w:sz w:val="20"/>
          <w:szCs w:val="20"/>
        </w:rPr>
        <w:t xml:space="preserve"> quarter of </w:t>
      </w:r>
      <w:r w:rsidR="00A71A48">
        <w:rPr>
          <w:rFonts w:ascii="Arial" w:eastAsia="Calibri" w:hAnsi="Arial"/>
          <w:bCs/>
          <w:color w:val="595959"/>
          <w:sz w:val="20"/>
          <w:szCs w:val="20"/>
        </w:rPr>
        <w:t>2019</w:t>
      </w:r>
      <w:r w:rsidR="00894620" w:rsidRPr="00894620">
        <w:rPr>
          <w:rFonts w:ascii="Arial" w:eastAsia="Calibri" w:hAnsi="Arial"/>
          <w:bCs/>
          <w:color w:val="595959"/>
          <w:sz w:val="20"/>
          <w:szCs w:val="20"/>
        </w:rPr>
        <w:t>.</w:t>
      </w:r>
    </w:p>
    <w:p w14:paraId="452BBC5D" w14:textId="6DBCE7FA" w:rsidR="001F0F8A" w:rsidRDefault="00E74786" w:rsidP="00E74786">
      <w:pPr>
        <w:tabs>
          <w:tab w:val="left" w:pos="6359"/>
        </w:tabs>
        <w:autoSpaceDE w:val="0"/>
        <w:autoSpaceDN w:val="0"/>
        <w:adjustRightInd w:val="0"/>
        <w:spacing w:after="0" w:line="360" w:lineRule="auto"/>
        <w:jc w:val="both"/>
        <w:rPr>
          <w:rFonts w:ascii="Arial" w:eastAsia="Calibri" w:hAnsi="Arial"/>
          <w:bCs/>
          <w:color w:val="595959"/>
          <w:sz w:val="20"/>
          <w:szCs w:val="20"/>
        </w:rPr>
      </w:pPr>
      <w:r>
        <w:rPr>
          <w:rFonts w:ascii="Arial" w:eastAsia="Calibri" w:hAnsi="Arial"/>
          <w:bCs/>
          <w:color w:val="595959"/>
          <w:sz w:val="20"/>
          <w:szCs w:val="20"/>
        </w:rPr>
        <w:tab/>
      </w:r>
    </w:p>
    <w:p w14:paraId="30F138FB" w14:textId="4452C11B" w:rsidR="001F0F8A" w:rsidRPr="00B2550C" w:rsidRDefault="001F0F8A" w:rsidP="0028521F">
      <w:pPr>
        <w:autoSpaceDE w:val="0"/>
        <w:autoSpaceDN w:val="0"/>
        <w:adjustRightInd w:val="0"/>
        <w:spacing w:after="0" w:line="360" w:lineRule="auto"/>
        <w:jc w:val="both"/>
        <w:rPr>
          <w:rFonts w:ascii="Arial" w:eastAsia="Calibri" w:hAnsi="Arial"/>
          <w:bCs/>
          <w:color w:val="595959"/>
          <w:sz w:val="20"/>
          <w:szCs w:val="20"/>
        </w:rPr>
      </w:pPr>
      <w:r w:rsidRPr="005767AB">
        <w:rPr>
          <w:rFonts w:ascii="Arial" w:eastAsia="Calibri" w:hAnsi="Arial"/>
          <w:bCs/>
          <w:color w:val="595959"/>
          <w:sz w:val="20"/>
          <w:szCs w:val="20"/>
        </w:rPr>
        <w:t xml:space="preserve">Compared with the previous quarter, the GDP at constant prices </w:t>
      </w:r>
      <w:r w:rsidR="00930017">
        <w:rPr>
          <w:rFonts w:ascii="Arial" w:eastAsia="Calibri" w:hAnsi="Arial"/>
          <w:bCs/>
          <w:color w:val="595959"/>
          <w:sz w:val="20"/>
          <w:szCs w:val="20"/>
        </w:rPr>
        <w:t xml:space="preserve">increased by </w:t>
      </w:r>
      <w:r w:rsidR="003021D4">
        <w:rPr>
          <w:rFonts w:ascii="Arial" w:eastAsia="Calibri" w:hAnsi="Arial"/>
          <w:bCs/>
          <w:color w:val="595959"/>
          <w:sz w:val="20"/>
          <w:szCs w:val="20"/>
        </w:rPr>
        <w:t>2</w:t>
      </w:r>
      <w:r w:rsidR="00930017">
        <w:rPr>
          <w:rFonts w:ascii="Arial" w:eastAsia="Calibri" w:hAnsi="Arial"/>
          <w:bCs/>
          <w:color w:val="595959"/>
          <w:sz w:val="20"/>
          <w:szCs w:val="20"/>
        </w:rPr>
        <w:t>.</w:t>
      </w:r>
      <w:r w:rsidR="000664CD">
        <w:rPr>
          <w:rFonts w:ascii="Arial" w:eastAsia="Calibri" w:hAnsi="Arial"/>
          <w:bCs/>
          <w:color w:val="595959"/>
          <w:sz w:val="20"/>
          <w:szCs w:val="20"/>
        </w:rPr>
        <w:t>0</w:t>
      </w:r>
      <w:r w:rsidRPr="005767AB">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C92BBB">
        <w:rPr>
          <w:rFonts w:ascii="Arial" w:eastAsia="Calibri" w:hAnsi="Arial"/>
          <w:bCs/>
          <w:color w:val="595959"/>
          <w:sz w:val="20"/>
          <w:szCs w:val="20"/>
        </w:rPr>
        <w:t xml:space="preserve"> </w:t>
      </w:r>
      <w:r w:rsidRPr="005767AB">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Pr="005767AB">
        <w:rPr>
          <w:rFonts w:ascii="Arial" w:eastAsia="Calibri" w:hAnsi="Arial"/>
          <w:bCs/>
          <w:color w:val="595959"/>
          <w:sz w:val="20"/>
          <w:szCs w:val="20"/>
        </w:rPr>
        <w:t xml:space="preserve">. The value added by oil activities </w:t>
      </w:r>
      <w:r w:rsidR="00EA752B">
        <w:rPr>
          <w:rFonts w:ascii="Arial" w:eastAsia="Calibri" w:hAnsi="Arial"/>
          <w:bCs/>
          <w:color w:val="595959"/>
          <w:sz w:val="20"/>
          <w:szCs w:val="20"/>
        </w:rPr>
        <w:t>in</w:t>
      </w:r>
      <w:r w:rsidRPr="005767AB">
        <w:rPr>
          <w:rFonts w:ascii="Arial" w:eastAsia="Calibri" w:hAnsi="Arial"/>
          <w:bCs/>
          <w:color w:val="595959"/>
          <w:sz w:val="20"/>
          <w:szCs w:val="20"/>
        </w:rPr>
        <w:t xml:space="preserve">creased by </w:t>
      </w:r>
      <w:r w:rsidR="000664CD">
        <w:rPr>
          <w:rFonts w:ascii="Arial" w:eastAsia="Calibri" w:hAnsi="Arial"/>
          <w:bCs/>
          <w:color w:val="595959"/>
          <w:sz w:val="20"/>
          <w:szCs w:val="20"/>
        </w:rPr>
        <w:t>5.1</w:t>
      </w:r>
      <w:r w:rsidRPr="005767AB">
        <w:rPr>
          <w:rFonts w:ascii="Arial" w:eastAsia="Calibri" w:hAnsi="Arial"/>
          <w:bCs/>
          <w:color w:val="595959"/>
          <w:sz w:val="20"/>
          <w:szCs w:val="20"/>
        </w:rPr>
        <w:t>%, while</w:t>
      </w:r>
      <w:r w:rsidR="0028521F">
        <w:rPr>
          <w:rFonts w:ascii="Arial" w:eastAsia="Calibri" w:hAnsi="Arial"/>
          <w:bCs/>
          <w:color w:val="595959"/>
          <w:sz w:val="20"/>
          <w:szCs w:val="20"/>
        </w:rPr>
        <w:t xml:space="preserve"> the value added for</w:t>
      </w:r>
      <w:r w:rsidRPr="005767AB">
        <w:rPr>
          <w:rFonts w:ascii="Arial" w:eastAsia="Calibri" w:hAnsi="Arial"/>
          <w:bCs/>
          <w:color w:val="595959"/>
          <w:sz w:val="20"/>
          <w:szCs w:val="20"/>
        </w:rPr>
        <w:t xml:space="preserve"> non-oil activities </w:t>
      </w:r>
      <w:r w:rsidR="0028521F">
        <w:rPr>
          <w:rFonts w:ascii="Arial" w:eastAsia="Calibri" w:hAnsi="Arial"/>
          <w:bCs/>
          <w:color w:val="595959"/>
          <w:sz w:val="20"/>
          <w:szCs w:val="20"/>
        </w:rPr>
        <w:t>reached AED 100,383 million</w:t>
      </w:r>
      <w:r w:rsidRPr="005767AB">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C92BBB">
        <w:rPr>
          <w:rFonts w:ascii="Arial" w:eastAsia="Calibri" w:hAnsi="Arial"/>
          <w:bCs/>
          <w:color w:val="595959"/>
          <w:sz w:val="20"/>
          <w:szCs w:val="20"/>
        </w:rPr>
        <w:t xml:space="preserve"> </w:t>
      </w:r>
      <w:r w:rsidRPr="005767AB">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Pr="005767AB">
        <w:rPr>
          <w:rFonts w:ascii="Arial" w:eastAsia="Calibri" w:hAnsi="Arial"/>
          <w:bCs/>
          <w:color w:val="595959"/>
          <w:sz w:val="20"/>
          <w:szCs w:val="20"/>
        </w:rPr>
        <w:t xml:space="preserve"> compared with</w:t>
      </w:r>
      <w:r w:rsidR="0028521F">
        <w:rPr>
          <w:rFonts w:ascii="Arial" w:eastAsia="Calibri" w:hAnsi="Arial"/>
          <w:bCs/>
          <w:color w:val="595959"/>
          <w:sz w:val="20"/>
          <w:szCs w:val="20"/>
        </w:rPr>
        <w:t xml:space="preserve"> AED 101,587 million in</w:t>
      </w:r>
      <w:r w:rsidRPr="005767AB">
        <w:rPr>
          <w:rFonts w:ascii="Arial" w:eastAsia="Calibri" w:hAnsi="Arial"/>
          <w:bCs/>
          <w:color w:val="595959"/>
          <w:sz w:val="20"/>
          <w:szCs w:val="20"/>
        </w:rPr>
        <w:t xml:space="preserve"> the </w:t>
      </w:r>
      <w:r w:rsidR="00D0083A">
        <w:rPr>
          <w:rFonts w:ascii="Arial" w:eastAsia="Calibri" w:hAnsi="Arial"/>
          <w:bCs/>
          <w:color w:val="595959"/>
          <w:sz w:val="20"/>
          <w:szCs w:val="20"/>
        </w:rPr>
        <w:t>fourth</w:t>
      </w:r>
      <w:r w:rsidR="00C92BBB">
        <w:rPr>
          <w:rFonts w:ascii="Arial" w:eastAsia="Calibri" w:hAnsi="Arial"/>
          <w:bCs/>
          <w:color w:val="595959"/>
          <w:sz w:val="20"/>
          <w:szCs w:val="20"/>
        </w:rPr>
        <w:t xml:space="preserve"> quarter of </w:t>
      </w:r>
      <w:r w:rsidR="00A71A48">
        <w:rPr>
          <w:rFonts w:ascii="Arial" w:eastAsia="Calibri" w:hAnsi="Arial"/>
          <w:bCs/>
          <w:color w:val="595959"/>
          <w:sz w:val="20"/>
          <w:szCs w:val="20"/>
        </w:rPr>
        <w:t>201</w:t>
      </w:r>
      <w:r w:rsidR="000664CD">
        <w:rPr>
          <w:rFonts w:ascii="Arial" w:eastAsia="Calibri" w:hAnsi="Arial"/>
          <w:bCs/>
          <w:color w:val="595959"/>
          <w:sz w:val="20"/>
          <w:szCs w:val="20"/>
        </w:rPr>
        <w:t>8</w:t>
      </w:r>
      <w:r w:rsidRPr="005767AB">
        <w:rPr>
          <w:rFonts w:ascii="Arial" w:eastAsia="Calibri" w:hAnsi="Arial"/>
          <w:bCs/>
          <w:color w:val="595959"/>
          <w:sz w:val="20"/>
          <w:szCs w:val="20"/>
        </w:rPr>
        <w:t>.</w:t>
      </w:r>
    </w:p>
    <w:p w14:paraId="39E60DC2" w14:textId="66651C0D" w:rsidR="001F0F8A" w:rsidRDefault="001F0F8A" w:rsidP="00066AB4">
      <w:pPr>
        <w:autoSpaceDE w:val="0"/>
        <w:autoSpaceDN w:val="0"/>
        <w:adjustRightInd w:val="0"/>
        <w:spacing w:after="0" w:line="360" w:lineRule="auto"/>
        <w:jc w:val="both"/>
        <w:rPr>
          <w:rFonts w:ascii="Arial" w:eastAsia="Calibri" w:hAnsi="Arial"/>
          <w:bCs/>
          <w:color w:val="595959"/>
          <w:sz w:val="20"/>
          <w:szCs w:val="20"/>
        </w:rPr>
      </w:pPr>
    </w:p>
    <w:p w14:paraId="13CECCD3" w14:textId="490B9E79" w:rsidR="00C92BBB" w:rsidRDefault="00D3097D" w:rsidP="00C92BBB">
      <w:pPr>
        <w:pStyle w:val="EcoTableChartTitles"/>
        <w:rPr>
          <w:b/>
          <w:bCs/>
        </w:rPr>
      </w:pPr>
      <w:r w:rsidRPr="008A0579">
        <w:rPr>
          <w:color w:val="D6A461" w:themeColor="text2"/>
        </w:rPr>
        <w:t xml:space="preserve">Figure 4: </w:t>
      </w:r>
      <w:r w:rsidRPr="00576ACA">
        <w:rPr>
          <w:b/>
          <w:bCs/>
        </w:rPr>
        <w:t xml:space="preserve">Percentage change </w:t>
      </w:r>
      <w:r w:rsidR="00D614DE" w:rsidRPr="00576ACA">
        <w:rPr>
          <w:b/>
          <w:bCs/>
        </w:rPr>
        <w:t>in</w:t>
      </w:r>
      <w:r w:rsidRPr="00576ACA">
        <w:rPr>
          <w:b/>
          <w:bCs/>
        </w:rPr>
        <w:t xml:space="preserve"> Gross Domestic Product at constant 2007 price</w:t>
      </w:r>
    </w:p>
    <w:p w14:paraId="2B2C4CF5" w14:textId="69A47772" w:rsidR="001816BC" w:rsidRDefault="00510F40" w:rsidP="00AE2030">
      <w:pPr>
        <w:pStyle w:val="EcoTableChartTitles"/>
      </w:pPr>
      <w:r>
        <w:rPr>
          <w:noProof/>
          <w:lang w:bidi="ar-SA"/>
        </w:rPr>
        <w:drawing>
          <wp:inline distT="0" distB="0" distL="0" distR="0" wp14:anchorId="3676F55F" wp14:editId="5E32449B">
            <wp:extent cx="4864608" cy="261940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4608" cy="2619403"/>
                    </a:xfrm>
                    <a:prstGeom prst="rect">
                      <a:avLst/>
                    </a:prstGeom>
                    <a:noFill/>
                    <a:ln>
                      <a:noFill/>
                    </a:ln>
                  </pic:spPr>
                </pic:pic>
              </a:graphicData>
            </a:graphic>
          </wp:inline>
        </w:drawing>
      </w:r>
    </w:p>
    <w:p w14:paraId="2AE04D6D" w14:textId="51ED712B" w:rsidR="00D3097D" w:rsidRPr="00757155" w:rsidRDefault="00D3097D" w:rsidP="00917809">
      <w:pPr>
        <w:pStyle w:val="EcoSourceNote"/>
      </w:pPr>
      <w:r w:rsidRPr="00757155">
        <w:t>Source: Statistics Centre - Abu Dhabi</w:t>
      </w:r>
    </w:p>
    <w:p w14:paraId="7FD52049" w14:textId="7C081D77" w:rsidR="00D3097D" w:rsidRPr="003D386A" w:rsidRDefault="00D3097D" w:rsidP="00866311">
      <w:pPr>
        <w:pStyle w:val="EcoHeading1"/>
        <w:ind w:left="0"/>
        <w:rPr>
          <w:rFonts w:eastAsia="Calibri"/>
        </w:rPr>
      </w:pPr>
      <w:r w:rsidRPr="00866311">
        <w:lastRenderedPageBreak/>
        <w:t>Gross Domestic Product by Sectors at Current Prices</w:t>
      </w:r>
      <w:r w:rsidRPr="003D386A">
        <w:rPr>
          <w:rFonts w:eastAsia="Calibri"/>
        </w:rPr>
        <w:t xml:space="preserve"> </w:t>
      </w:r>
    </w:p>
    <w:p w14:paraId="2E449B37" w14:textId="77777777" w:rsidR="00D3097D" w:rsidRDefault="00D3097D" w:rsidP="00D3097D">
      <w:pPr>
        <w:autoSpaceDE w:val="0"/>
        <w:autoSpaceDN w:val="0"/>
        <w:adjustRightInd w:val="0"/>
        <w:spacing w:after="0" w:line="360" w:lineRule="auto"/>
        <w:jc w:val="both"/>
        <w:rPr>
          <w:rFonts w:ascii="Arial" w:eastAsia="Calibri" w:hAnsi="Arial"/>
          <w:bCs/>
          <w:color w:val="595959"/>
          <w:sz w:val="20"/>
          <w:szCs w:val="20"/>
        </w:rPr>
      </w:pPr>
    </w:p>
    <w:p w14:paraId="190348DA" w14:textId="2503D7EC" w:rsidR="00D3097D" w:rsidRPr="001F7625" w:rsidRDefault="00D3097D" w:rsidP="000C6E11">
      <w:pPr>
        <w:autoSpaceDE w:val="0"/>
        <w:autoSpaceDN w:val="0"/>
        <w:adjustRightInd w:val="0"/>
        <w:spacing w:after="0" w:line="360" w:lineRule="auto"/>
        <w:jc w:val="both"/>
        <w:rPr>
          <w:rFonts w:ascii="Arial" w:eastAsia="Calibri" w:hAnsi="Arial"/>
          <w:bCs/>
          <w:color w:val="595959"/>
          <w:sz w:val="20"/>
          <w:szCs w:val="20"/>
        </w:rPr>
      </w:pPr>
      <w:r w:rsidRPr="00B2550C">
        <w:rPr>
          <w:rFonts w:ascii="Arial" w:eastAsia="Calibri" w:hAnsi="Arial"/>
          <w:bCs/>
          <w:color w:val="595959"/>
          <w:sz w:val="20"/>
          <w:szCs w:val="20"/>
        </w:rPr>
        <w:t xml:space="preserve">The GDP at current prices </w:t>
      </w:r>
      <w:r w:rsidR="006D73F1">
        <w:rPr>
          <w:rFonts w:ascii="Arial" w:eastAsia="Calibri" w:hAnsi="Arial"/>
          <w:bCs/>
          <w:color w:val="595959"/>
          <w:sz w:val="20"/>
          <w:szCs w:val="20"/>
        </w:rPr>
        <w:t>increased</w:t>
      </w:r>
      <w:r w:rsidRPr="004B7393">
        <w:rPr>
          <w:rFonts w:ascii="Arial" w:eastAsia="Calibri" w:hAnsi="Arial"/>
          <w:bCs/>
          <w:color w:val="595959"/>
          <w:sz w:val="20"/>
          <w:szCs w:val="20"/>
        </w:rPr>
        <w:t xml:space="preserve"> </w:t>
      </w:r>
      <w:r w:rsidRPr="00B46F50">
        <w:rPr>
          <w:rFonts w:ascii="Arial" w:eastAsia="Calibri" w:hAnsi="Arial"/>
          <w:bCs/>
          <w:color w:val="595959"/>
          <w:sz w:val="20"/>
          <w:szCs w:val="20"/>
        </w:rPr>
        <w:t xml:space="preserve">by </w:t>
      </w:r>
      <w:r w:rsidR="000664CD">
        <w:rPr>
          <w:rFonts w:ascii="Arial" w:eastAsia="Calibri" w:hAnsi="Arial"/>
          <w:bCs/>
          <w:color w:val="595959"/>
          <w:sz w:val="20"/>
          <w:szCs w:val="20"/>
        </w:rPr>
        <w:t>3.3</w:t>
      </w:r>
      <w:r w:rsidRPr="00B46F50">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DA23C1">
        <w:rPr>
          <w:rFonts w:ascii="Arial" w:eastAsia="Calibri" w:hAnsi="Arial"/>
          <w:bCs/>
          <w:color w:val="595959"/>
          <w:sz w:val="20"/>
          <w:szCs w:val="20"/>
        </w:rPr>
        <w:t xml:space="preserve"> quarter of </w:t>
      </w:r>
      <w:r w:rsidR="00A71A48">
        <w:rPr>
          <w:rFonts w:ascii="Arial" w:eastAsia="Calibri" w:hAnsi="Arial"/>
          <w:bCs/>
          <w:color w:val="595959"/>
          <w:sz w:val="20"/>
          <w:szCs w:val="20"/>
        </w:rPr>
        <w:t>2019</w:t>
      </w:r>
      <w:r w:rsidRPr="00B46F50">
        <w:rPr>
          <w:rFonts w:ascii="Arial" w:eastAsia="Calibri" w:hAnsi="Arial"/>
          <w:bCs/>
          <w:color w:val="595959"/>
          <w:sz w:val="20"/>
          <w:szCs w:val="20"/>
        </w:rPr>
        <w:t xml:space="preserve">, compared with the </w:t>
      </w:r>
      <w:r w:rsidR="00A71A48">
        <w:rPr>
          <w:rFonts w:ascii="Arial" w:eastAsia="Calibri" w:hAnsi="Arial"/>
          <w:bCs/>
          <w:color w:val="595959"/>
          <w:sz w:val="20"/>
          <w:szCs w:val="20"/>
        </w:rPr>
        <w:t>first</w:t>
      </w:r>
      <w:r w:rsidR="00DA23C1">
        <w:rPr>
          <w:rFonts w:ascii="Arial" w:eastAsia="Calibri" w:hAnsi="Arial"/>
          <w:bCs/>
          <w:color w:val="595959"/>
          <w:sz w:val="20"/>
          <w:szCs w:val="20"/>
        </w:rPr>
        <w:t xml:space="preserve"> quarter of </w:t>
      </w:r>
      <w:r w:rsidR="00A71A48">
        <w:rPr>
          <w:rFonts w:ascii="Arial" w:eastAsia="Calibri" w:hAnsi="Arial"/>
          <w:bCs/>
          <w:color w:val="595959"/>
          <w:sz w:val="20"/>
          <w:szCs w:val="20"/>
        </w:rPr>
        <w:t>2018</w:t>
      </w:r>
      <w:r w:rsidRPr="00B46F50">
        <w:rPr>
          <w:rFonts w:ascii="Arial" w:eastAsia="Calibri" w:hAnsi="Arial"/>
          <w:bCs/>
          <w:color w:val="595959"/>
          <w:sz w:val="20"/>
          <w:szCs w:val="20"/>
        </w:rPr>
        <w:t>. The</w:t>
      </w:r>
      <w:r w:rsidR="000C6E11">
        <w:rPr>
          <w:rFonts w:ascii="Arial" w:eastAsia="Calibri" w:hAnsi="Arial"/>
          <w:bCs/>
          <w:color w:val="595959"/>
          <w:sz w:val="20"/>
          <w:szCs w:val="20"/>
        </w:rPr>
        <w:t xml:space="preserve"> </w:t>
      </w:r>
      <w:r w:rsidR="000664CD">
        <w:rPr>
          <w:rFonts w:ascii="Arial" w:eastAsia="Calibri" w:hAnsi="Arial"/>
          <w:bCs/>
          <w:color w:val="595959"/>
          <w:sz w:val="20"/>
          <w:szCs w:val="20"/>
        </w:rPr>
        <w:t>‘Households’</w:t>
      </w:r>
      <w:r w:rsidR="00FC5D31">
        <w:rPr>
          <w:rFonts w:ascii="Arial" w:eastAsia="Calibri" w:hAnsi="Arial"/>
          <w:bCs/>
          <w:color w:val="595959"/>
          <w:sz w:val="20"/>
          <w:szCs w:val="20"/>
        </w:rPr>
        <w:t xml:space="preserve"> </w:t>
      </w:r>
      <w:r w:rsidRPr="009D45F4">
        <w:rPr>
          <w:rFonts w:ascii="Arial" w:eastAsia="Calibri" w:hAnsi="Arial"/>
          <w:bCs/>
          <w:color w:val="595959"/>
          <w:sz w:val="20"/>
          <w:szCs w:val="20"/>
        </w:rPr>
        <w:t xml:space="preserve">sector </w:t>
      </w:r>
      <w:r w:rsidR="006D73F1" w:rsidRPr="009D45F4">
        <w:rPr>
          <w:rFonts w:ascii="Arial" w:eastAsia="Calibri" w:hAnsi="Arial"/>
          <w:bCs/>
          <w:color w:val="595959"/>
          <w:sz w:val="20"/>
          <w:szCs w:val="20"/>
        </w:rPr>
        <w:t xml:space="preserve">increased </w:t>
      </w:r>
      <w:r w:rsidRPr="009D45F4">
        <w:rPr>
          <w:rFonts w:ascii="Arial" w:eastAsia="Calibri" w:hAnsi="Arial"/>
          <w:bCs/>
          <w:color w:val="595959"/>
          <w:sz w:val="20"/>
          <w:szCs w:val="20"/>
        </w:rPr>
        <w:t xml:space="preserve">by </w:t>
      </w:r>
      <w:r w:rsidR="000664CD">
        <w:rPr>
          <w:rFonts w:ascii="Arial" w:eastAsia="Calibri" w:hAnsi="Arial"/>
          <w:bCs/>
          <w:color w:val="595959"/>
          <w:sz w:val="20"/>
          <w:szCs w:val="20"/>
        </w:rPr>
        <w:t>7.8</w:t>
      </w:r>
      <w:r w:rsidRPr="009D45F4">
        <w:rPr>
          <w:rFonts w:ascii="Arial" w:eastAsia="Calibri" w:hAnsi="Arial"/>
          <w:bCs/>
          <w:color w:val="595959"/>
          <w:sz w:val="20"/>
          <w:szCs w:val="20"/>
        </w:rPr>
        <w:t xml:space="preserve">% from the </w:t>
      </w:r>
      <w:r w:rsidR="00A71A48">
        <w:rPr>
          <w:rFonts w:ascii="Arial" w:eastAsia="Calibri" w:hAnsi="Arial"/>
          <w:bCs/>
          <w:color w:val="595959"/>
          <w:sz w:val="20"/>
          <w:szCs w:val="20"/>
        </w:rPr>
        <w:t>first</w:t>
      </w:r>
      <w:r w:rsidR="00C20E7D">
        <w:rPr>
          <w:rFonts w:ascii="Arial" w:eastAsia="Calibri" w:hAnsi="Arial"/>
          <w:bCs/>
          <w:color w:val="595959"/>
          <w:sz w:val="20"/>
          <w:szCs w:val="20"/>
        </w:rPr>
        <w:t xml:space="preserve"> </w:t>
      </w:r>
      <w:r w:rsidR="00DA23C1" w:rsidRPr="009D45F4">
        <w:rPr>
          <w:rFonts w:ascii="Arial" w:eastAsia="Calibri" w:hAnsi="Arial"/>
          <w:bCs/>
          <w:color w:val="595959"/>
          <w:sz w:val="20"/>
          <w:szCs w:val="20"/>
        </w:rPr>
        <w:t xml:space="preserve">quarter of </w:t>
      </w:r>
      <w:r w:rsidR="00A71A48">
        <w:rPr>
          <w:rFonts w:ascii="Arial" w:eastAsia="Calibri" w:hAnsi="Arial"/>
          <w:bCs/>
          <w:color w:val="595959"/>
          <w:sz w:val="20"/>
          <w:szCs w:val="20"/>
        </w:rPr>
        <w:t>2018</w:t>
      </w:r>
      <w:r w:rsidRPr="009D45F4">
        <w:rPr>
          <w:rFonts w:ascii="Arial" w:eastAsia="Calibri" w:hAnsi="Arial"/>
          <w:bCs/>
          <w:color w:val="595959"/>
          <w:sz w:val="20"/>
          <w:szCs w:val="20"/>
        </w:rPr>
        <w:t xml:space="preserve"> to the </w:t>
      </w:r>
      <w:r w:rsidR="00A71A48">
        <w:rPr>
          <w:rFonts w:ascii="Arial" w:eastAsia="Calibri" w:hAnsi="Arial"/>
          <w:bCs/>
          <w:color w:val="595959"/>
          <w:sz w:val="20"/>
          <w:szCs w:val="20"/>
        </w:rPr>
        <w:t>first</w:t>
      </w:r>
      <w:r w:rsidR="00C20E7D">
        <w:rPr>
          <w:rFonts w:ascii="Arial" w:eastAsia="Calibri" w:hAnsi="Arial"/>
          <w:bCs/>
          <w:color w:val="595959"/>
          <w:sz w:val="20"/>
          <w:szCs w:val="20"/>
        </w:rPr>
        <w:t xml:space="preserve"> </w:t>
      </w:r>
      <w:r w:rsidR="00DA23C1" w:rsidRPr="009D45F4">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008145FC" w:rsidRPr="009D45F4">
        <w:rPr>
          <w:rFonts w:ascii="Arial" w:eastAsia="Calibri" w:hAnsi="Arial"/>
          <w:bCs/>
          <w:color w:val="595959"/>
          <w:sz w:val="20"/>
          <w:szCs w:val="20"/>
        </w:rPr>
        <w:t>.</w:t>
      </w:r>
      <w:r w:rsidR="00C20E7D" w:rsidRPr="00C20E7D">
        <w:rPr>
          <w:rFonts w:ascii="Arial" w:eastAsia="Calibri" w:hAnsi="Arial"/>
          <w:bCs/>
          <w:color w:val="595959"/>
          <w:sz w:val="20"/>
          <w:szCs w:val="20"/>
        </w:rPr>
        <w:t xml:space="preserve"> </w:t>
      </w:r>
      <w:r w:rsidR="00C20E7D" w:rsidRPr="009D45F4">
        <w:rPr>
          <w:rFonts w:ascii="Arial" w:eastAsia="Calibri" w:hAnsi="Arial"/>
          <w:bCs/>
          <w:color w:val="595959"/>
          <w:sz w:val="20"/>
          <w:szCs w:val="20"/>
        </w:rPr>
        <w:t xml:space="preserve">Activities of </w:t>
      </w:r>
      <w:r w:rsidR="00C20E7D">
        <w:rPr>
          <w:rFonts w:ascii="Arial" w:eastAsia="Calibri" w:hAnsi="Arial"/>
          <w:bCs/>
          <w:color w:val="595959"/>
          <w:sz w:val="20"/>
          <w:szCs w:val="20"/>
        </w:rPr>
        <w:t xml:space="preserve">the </w:t>
      </w:r>
      <w:r w:rsidR="00C20E7D">
        <w:rPr>
          <w:rFonts w:ascii="Arial" w:eastAsia="Calibri" w:hAnsi="Arial"/>
          <w:bCs/>
          <w:color w:val="595959"/>
          <w:sz w:val="20"/>
          <w:szCs w:val="20"/>
          <w:lang w:bidi="ar-AE"/>
        </w:rPr>
        <w:t>‘</w:t>
      </w:r>
      <w:r w:rsidR="000664CD">
        <w:rPr>
          <w:rFonts w:ascii="Arial" w:eastAsia="Calibri" w:hAnsi="Arial"/>
          <w:bCs/>
          <w:color w:val="595959"/>
          <w:sz w:val="20"/>
          <w:szCs w:val="20"/>
        </w:rPr>
        <w:t>Non-f</w:t>
      </w:r>
      <w:r w:rsidR="00C20E7D">
        <w:rPr>
          <w:rFonts w:ascii="Arial" w:eastAsia="Calibri" w:hAnsi="Arial"/>
          <w:bCs/>
          <w:color w:val="595959"/>
          <w:sz w:val="20"/>
          <w:szCs w:val="20"/>
        </w:rPr>
        <w:t>inancial companies’</w:t>
      </w:r>
      <w:r w:rsidR="00C20E7D">
        <w:rPr>
          <w:rFonts w:ascii="Arial" w:eastAsia="Calibri" w:hAnsi="Arial"/>
          <w:bCs/>
          <w:color w:val="595959"/>
          <w:sz w:val="20"/>
          <w:szCs w:val="20"/>
          <w:lang w:bidi="ar-AE"/>
        </w:rPr>
        <w:t xml:space="preserve"> sector </w:t>
      </w:r>
      <w:r w:rsidR="003021D4">
        <w:rPr>
          <w:rFonts w:ascii="Arial" w:eastAsia="Calibri" w:hAnsi="Arial"/>
          <w:bCs/>
          <w:color w:val="595959"/>
          <w:sz w:val="20"/>
          <w:szCs w:val="20"/>
          <w:lang w:bidi="ar-AE"/>
        </w:rPr>
        <w:t>increased</w:t>
      </w:r>
      <w:r w:rsidR="00C20E7D" w:rsidRPr="009D45F4">
        <w:rPr>
          <w:rFonts w:ascii="Arial" w:eastAsia="Calibri" w:hAnsi="Arial"/>
          <w:bCs/>
          <w:color w:val="595959"/>
          <w:sz w:val="20"/>
          <w:szCs w:val="20"/>
        </w:rPr>
        <w:t xml:space="preserve"> by </w:t>
      </w:r>
      <w:r w:rsidR="000664CD">
        <w:rPr>
          <w:rFonts w:ascii="Arial" w:eastAsia="Calibri" w:hAnsi="Arial"/>
          <w:bCs/>
          <w:color w:val="595959"/>
          <w:sz w:val="20"/>
          <w:szCs w:val="20"/>
        </w:rPr>
        <w:t>3.5</w:t>
      </w:r>
      <w:r w:rsidR="00C20E7D" w:rsidRPr="009D45F4">
        <w:rPr>
          <w:rFonts w:ascii="Arial" w:eastAsia="Calibri" w:hAnsi="Arial"/>
          <w:bCs/>
          <w:color w:val="595959"/>
          <w:sz w:val="20"/>
          <w:szCs w:val="20"/>
        </w:rPr>
        <w:t>%</w:t>
      </w:r>
      <w:r w:rsidR="00C20E7D">
        <w:rPr>
          <w:rFonts w:ascii="Arial" w:eastAsia="Calibri" w:hAnsi="Arial"/>
          <w:bCs/>
          <w:color w:val="595959"/>
          <w:sz w:val="20"/>
          <w:szCs w:val="20"/>
        </w:rPr>
        <w:t>.</w:t>
      </w:r>
      <w:r w:rsidR="008145FC" w:rsidRPr="009D45F4">
        <w:rPr>
          <w:rFonts w:ascii="Arial" w:eastAsia="Calibri" w:hAnsi="Arial"/>
          <w:bCs/>
          <w:color w:val="595959"/>
          <w:sz w:val="20"/>
          <w:szCs w:val="20"/>
        </w:rPr>
        <w:t xml:space="preserve"> </w:t>
      </w:r>
      <w:r w:rsidRPr="009D45F4">
        <w:rPr>
          <w:rFonts w:ascii="Arial" w:eastAsia="Calibri" w:hAnsi="Arial"/>
          <w:bCs/>
          <w:color w:val="595959"/>
          <w:sz w:val="20"/>
          <w:szCs w:val="20"/>
        </w:rPr>
        <w:t xml:space="preserve">The value added of </w:t>
      </w:r>
      <w:r w:rsidR="003A1426">
        <w:rPr>
          <w:rFonts w:ascii="Arial" w:eastAsia="Calibri" w:hAnsi="Arial"/>
          <w:bCs/>
          <w:color w:val="595959"/>
          <w:sz w:val="20"/>
          <w:szCs w:val="20"/>
        </w:rPr>
        <w:t xml:space="preserve">the </w:t>
      </w:r>
      <w:r w:rsidRPr="009D45F4">
        <w:rPr>
          <w:rFonts w:ascii="Arial" w:eastAsia="Calibri" w:hAnsi="Arial"/>
          <w:bCs/>
          <w:color w:val="595959"/>
          <w:sz w:val="20"/>
          <w:szCs w:val="20"/>
        </w:rPr>
        <w:t>'</w:t>
      </w:r>
      <w:r w:rsidR="00DD1257">
        <w:rPr>
          <w:rFonts w:ascii="Arial" w:eastAsia="Calibri" w:hAnsi="Arial"/>
          <w:bCs/>
          <w:color w:val="595959"/>
          <w:sz w:val="20"/>
          <w:szCs w:val="20"/>
        </w:rPr>
        <w:t>General government</w:t>
      </w:r>
      <w:r w:rsidR="008932B6">
        <w:rPr>
          <w:rFonts w:ascii="Arial" w:eastAsia="Calibri" w:hAnsi="Arial"/>
          <w:bCs/>
          <w:color w:val="595959"/>
          <w:sz w:val="20"/>
          <w:szCs w:val="20"/>
        </w:rPr>
        <w:t xml:space="preserve">’ </w:t>
      </w:r>
      <w:r w:rsidR="003A1426">
        <w:rPr>
          <w:rFonts w:ascii="Arial" w:eastAsia="Calibri" w:hAnsi="Arial"/>
          <w:bCs/>
          <w:color w:val="595959"/>
          <w:sz w:val="20"/>
          <w:szCs w:val="20"/>
        </w:rPr>
        <w:t xml:space="preserve">sector </w:t>
      </w:r>
      <w:r w:rsidR="008932B6">
        <w:rPr>
          <w:rFonts w:ascii="Arial" w:eastAsia="Calibri" w:hAnsi="Arial"/>
          <w:bCs/>
          <w:color w:val="595959"/>
          <w:sz w:val="20"/>
          <w:szCs w:val="20"/>
        </w:rPr>
        <w:t xml:space="preserve">increased by </w:t>
      </w:r>
      <w:r w:rsidR="000664CD">
        <w:rPr>
          <w:rFonts w:ascii="Arial" w:eastAsia="Calibri" w:hAnsi="Arial"/>
          <w:bCs/>
          <w:color w:val="595959"/>
          <w:sz w:val="20"/>
          <w:szCs w:val="20"/>
        </w:rPr>
        <w:t>2.6</w:t>
      </w:r>
      <w:r w:rsidR="00C20E7D">
        <w:rPr>
          <w:rFonts w:ascii="Arial" w:eastAsia="Calibri" w:hAnsi="Arial"/>
          <w:bCs/>
          <w:color w:val="595959"/>
          <w:sz w:val="20"/>
          <w:szCs w:val="20"/>
        </w:rPr>
        <w:t xml:space="preserve">% </w:t>
      </w:r>
      <w:r w:rsidR="008932B6">
        <w:rPr>
          <w:rFonts w:ascii="Arial" w:eastAsia="Calibri" w:hAnsi="Arial"/>
          <w:bCs/>
          <w:color w:val="595959"/>
          <w:sz w:val="20"/>
          <w:szCs w:val="20"/>
        </w:rPr>
        <w:t xml:space="preserve">while the </w:t>
      </w:r>
      <w:r w:rsidR="00DD1257">
        <w:rPr>
          <w:rFonts w:ascii="Arial" w:eastAsia="Calibri" w:hAnsi="Arial"/>
          <w:bCs/>
          <w:color w:val="595959"/>
          <w:sz w:val="20"/>
          <w:szCs w:val="20"/>
        </w:rPr>
        <w:t>‘</w:t>
      </w:r>
      <w:r w:rsidR="000664CD">
        <w:rPr>
          <w:rFonts w:ascii="Arial" w:eastAsia="Calibri" w:hAnsi="Arial"/>
          <w:bCs/>
          <w:color w:val="595959"/>
          <w:sz w:val="20"/>
          <w:szCs w:val="20"/>
        </w:rPr>
        <w:t>Financial companies’</w:t>
      </w:r>
      <w:r w:rsidR="003A1426">
        <w:rPr>
          <w:rFonts w:ascii="Arial" w:eastAsia="Calibri" w:hAnsi="Arial"/>
          <w:bCs/>
          <w:color w:val="595959"/>
          <w:sz w:val="20"/>
          <w:szCs w:val="20"/>
        </w:rPr>
        <w:t xml:space="preserve"> sector</w:t>
      </w:r>
      <w:r w:rsidR="008932B6">
        <w:rPr>
          <w:rFonts w:ascii="Arial" w:eastAsia="Calibri" w:hAnsi="Arial"/>
          <w:bCs/>
          <w:color w:val="595959"/>
          <w:sz w:val="20"/>
          <w:szCs w:val="20"/>
        </w:rPr>
        <w:t xml:space="preserve"> </w:t>
      </w:r>
      <w:r w:rsidR="00DD1257">
        <w:rPr>
          <w:rFonts w:ascii="Arial" w:eastAsia="Calibri" w:hAnsi="Arial"/>
          <w:bCs/>
          <w:color w:val="595959"/>
          <w:sz w:val="20"/>
          <w:szCs w:val="20"/>
        </w:rPr>
        <w:t>in</w:t>
      </w:r>
      <w:r w:rsidR="008932B6">
        <w:rPr>
          <w:rFonts w:ascii="Arial" w:eastAsia="Calibri" w:hAnsi="Arial"/>
          <w:bCs/>
          <w:color w:val="595959"/>
          <w:sz w:val="20"/>
          <w:szCs w:val="20"/>
        </w:rPr>
        <w:t xml:space="preserve">creased by </w:t>
      </w:r>
      <w:r w:rsidR="000664CD">
        <w:rPr>
          <w:rFonts w:ascii="Arial" w:eastAsia="Calibri" w:hAnsi="Arial"/>
          <w:bCs/>
          <w:color w:val="595959"/>
          <w:sz w:val="20"/>
          <w:szCs w:val="20"/>
        </w:rPr>
        <w:t>0.9</w:t>
      </w:r>
      <w:r w:rsidR="008932B6">
        <w:rPr>
          <w:rFonts w:ascii="Arial" w:eastAsia="Calibri" w:hAnsi="Arial"/>
          <w:bCs/>
          <w:color w:val="595959"/>
          <w:sz w:val="20"/>
          <w:szCs w:val="20"/>
        </w:rPr>
        <w:t xml:space="preserve">% </w:t>
      </w:r>
      <w:r w:rsidR="001A366B" w:rsidRPr="009D45F4">
        <w:rPr>
          <w:rFonts w:ascii="Arial" w:eastAsia="Calibri" w:hAnsi="Arial"/>
          <w:bCs/>
          <w:color w:val="595959"/>
          <w:sz w:val="20"/>
          <w:szCs w:val="20"/>
          <w:lang w:bidi="ar-AE"/>
        </w:rPr>
        <w:t xml:space="preserve">from </w:t>
      </w:r>
      <w:r w:rsidRPr="009D45F4">
        <w:rPr>
          <w:rFonts w:ascii="Arial" w:eastAsia="Calibri" w:hAnsi="Arial"/>
          <w:bCs/>
          <w:color w:val="595959"/>
          <w:sz w:val="20"/>
          <w:szCs w:val="20"/>
        </w:rPr>
        <w:t xml:space="preserve">the </w:t>
      </w:r>
      <w:r w:rsidR="00A71A48">
        <w:rPr>
          <w:rFonts w:ascii="Arial" w:eastAsia="Calibri" w:hAnsi="Arial"/>
          <w:bCs/>
          <w:color w:val="595959"/>
          <w:sz w:val="20"/>
          <w:szCs w:val="20"/>
        </w:rPr>
        <w:t>first</w:t>
      </w:r>
      <w:r w:rsidR="00C20E7D">
        <w:rPr>
          <w:rFonts w:ascii="Arial" w:eastAsia="Calibri" w:hAnsi="Arial"/>
          <w:bCs/>
          <w:color w:val="595959"/>
          <w:sz w:val="20"/>
          <w:szCs w:val="20"/>
        </w:rPr>
        <w:t xml:space="preserve"> </w:t>
      </w:r>
      <w:r w:rsidR="00DA23C1" w:rsidRPr="009D45F4">
        <w:rPr>
          <w:rFonts w:ascii="Arial" w:eastAsia="Calibri" w:hAnsi="Arial"/>
          <w:bCs/>
          <w:color w:val="595959"/>
          <w:sz w:val="20"/>
          <w:szCs w:val="20"/>
        </w:rPr>
        <w:t xml:space="preserve">quarter of </w:t>
      </w:r>
      <w:r w:rsidR="00A71A48">
        <w:rPr>
          <w:rFonts w:ascii="Arial" w:eastAsia="Calibri" w:hAnsi="Arial"/>
          <w:bCs/>
          <w:color w:val="595959"/>
          <w:sz w:val="20"/>
          <w:szCs w:val="20"/>
        </w:rPr>
        <w:t>2018</w:t>
      </w:r>
      <w:r w:rsidRPr="009D45F4">
        <w:rPr>
          <w:rFonts w:ascii="Arial" w:eastAsia="Calibri" w:hAnsi="Arial"/>
          <w:bCs/>
          <w:color w:val="595959"/>
          <w:sz w:val="20"/>
          <w:szCs w:val="20"/>
        </w:rPr>
        <w:t xml:space="preserve"> to the </w:t>
      </w:r>
      <w:r w:rsidR="00A71A48">
        <w:rPr>
          <w:rFonts w:ascii="Arial" w:eastAsia="Calibri" w:hAnsi="Arial"/>
          <w:bCs/>
          <w:color w:val="595959"/>
          <w:sz w:val="20"/>
          <w:szCs w:val="20"/>
        </w:rPr>
        <w:t>first</w:t>
      </w:r>
      <w:r w:rsidR="00C54DBD">
        <w:rPr>
          <w:rFonts w:ascii="Arial" w:eastAsia="Calibri" w:hAnsi="Arial"/>
          <w:bCs/>
          <w:color w:val="595959"/>
          <w:sz w:val="20"/>
          <w:szCs w:val="20"/>
        </w:rPr>
        <w:t xml:space="preserve"> </w:t>
      </w:r>
      <w:r w:rsidR="00DA23C1" w:rsidRPr="009D45F4">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Pr="009D45F4">
        <w:rPr>
          <w:rFonts w:ascii="Arial" w:eastAsia="Calibri" w:hAnsi="Arial"/>
          <w:bCs/>
          <w:color w:val="595959"/>
          <w:sz w:val="20"/>
          <w:szCs w:val="20"/>
        </w:rPr>
        <w:t>.</w:t>
      </w:r>
      <w:r w:rsidRPr="001F7625">
        <w:rPr>
          <w:rFonts w:ascii="Arial" w:eastAsia="Calibri" w:hAnsi="Arial"/>
          <w:bCs/>
          <w:color w:val="595959"/>
          <w:sz w:val="20"/>
          <w:szCs w:val="20"/>
          <w:lang w:bidi="ar-AE"/>
        </w:rPr>
        <w:t xml:space="preserve">  </w:t>
      </w:r>
    </w:p>
    <w:p w14:paraId="6C4B3F5D" w14:textId="77777777" w:rsidR="008B41C6" w:rsidRDefault="008B41C6" w:rsidP="00D409A6">
      <w:pPr>
        <w:pStyle w:val="EcoTableChartTitles"/>
      </w:pPr>
    </w:p>
    <w:p w14:paraId="6B6AFC98" w14:textId="410E5F2E" w:rsidR="00D3097D" w:rsidRDefault="00D3097D" w:rsidP="00D409A6">
      <w:pPr>
        <w:pStyle w:val="EcoTableChartTitles"/>
      </w:pPr>
      <w:r w:rsidRPr="00263BBB">
        <w:rPr>
          <w:color w:val="D6A461" w:themeColor="text2"/>
        </w:rPr>
        <w:t xml:space="preserve">Figure 5: </w:t>
      </w:r>
      <w:r w:rsidRPr="00576ACA">
        <w:rPr>
          <w:b/>
          <w:bCs/>
        </w:rPr>
        <w:t>Percentage change in Gross Domestic Product by sectors at current prices</w:t>
      </w:r>
      <w:r w:rsidRPr="006A0ED3">
        <w:t xml:space="preserve"> </w:t>
      </w:r>
    </w:p>
    <w:p w14:paraId="71B22286" w14:textId="0760145A" w:rsidR="001E596D" w:rsidRDefault="001E596D" w:rsidP="001E596D">
      <w:pPr>
        <w:autoSpaceDE w:val="0"/>
        <w:autoSpaceDN w:val="0"/>
        <w:adjustRightInd w:val="0"/>
        <w:spacing w:after="0"/>
        <w:contextualSpacing/>
        <w:rPr>
          <w:rFonts w:ascii="Arial" w:eastAsia="Calibri" w:hAnsi="Arial"/>
          <w:b/>
          <w:color w:val="595959"/>
          <w:highlight w:val="yellow"/>
        </w:rPr>
      </w:pPr>
    </w:p>
    <w:p w14:paraId="4DA05AC2" w14:textId="54E0FB46" w:rsidR="00CB32FA" w:rsidRPr="00410580" w:rsidRDefault="005D76D3" w:rsidP="00917809">
      <w:pPr>
        <w:pStyle w:val="EcoSourceNote"/>
        <w:rPr>
          <w:lang w:val="en-US"/>
        </w:rPr>
      </w:pPr>
      <w:r>
        <w:rPr>
          <w:noProof/>
          <w:lang w:val="en-US" w:eastAsia="en-US" w:bidi="ar-SA"/>
        </w:rPr>
        <w:drawing>
          <wp:inline distT="0" distB="0" distL="0" distR="0" wp14:anchorId="561488F7" wp14:editId="25BFB36F">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350860" w14:textId="39CDAC38" w:rsidR="00DE5C5E" w:rsidRPr="00986614" w:rsidRDefault="00D3097D" w:rsidP="00917809">
      <w:pPr>
        <w:pStyle w:val="EcoSourceNote"/>
      </w:pPr>
      <w:r w:rsidRPr="00757155">
        <w:t>Source: Statistics Centre - Abu Dhabi</w:t>
      </w:r>
    </w:p>
    <w:p w14:paraId="348F3131" w14:textId="77777777" w:rsidR="00DE5C5E" w:rsidRDefault="00DE5C5E" w:rsidP="00D3097D">
      <w:pPr>
        <w:autoSpaceDE w:val="0"/>
        <w:autoSpaceDN w:val="0"/>
        <w:adjustRightInd w:val="0"/>
        <w:spacing w:after="0" w:line="240" w:lineRule="auto"/>
        <w:contextualSpacing/>
        <w:rPr>
          <w:rFonts w:ascii="Arial" w:eastAsia="Calibri" w:hAnsi="Arial"/>
          <w:b/>
          <w:color w:val="595959"/>
          <w:sz w:val="20"/>
          <w:szCs w:val="20"/>
          <w:lang w:bidi="ar-AE"/>
        </w:rPr>
      </w:pPr>
    </w:p>
    <w:p w14:paraId="0BCC9EC9" w14:textId="77777777" w:rsidR="001E596D" w:rsidRDefault="001E596D" w:rsidP="00D3097D">
      <w:pPr>
        <w:autoSpaceDE w:val="0"/>
        <w:autoSpaceDN w:val="0"/>
        <w:adjustRightInd w:val="0"/>
        <w:spacing w:after="0" w:line="240" w:lineRule="auto"/>
        <w:contextualSpacing/>
        <w:rPr>
          <w:rFonts w:ascii="Arial" w:eastAsia="Calibri" w:hAnsi="Arial"/>
          <w:b/>
          <w:color w:val="595959"/>
          <w:sz w:val="20"/>
          <w:szCs w:val="20"/>
          <w:lang w:bidi="ar-AE"/>
        </w:rPr>
      </w:pPr>
    </w:p>
    <w:p w14:paraId="78A6EA6A" w14:textId="77777777" w:rsidR="00447DEA" w:rsidRDefault="00447DEA" w:rsidP="00D3097D">
      <w:pPr>
        <w:autoSpaceDE w:val="0"/>
        <w:autoSpaceDN w:val="0"/>
        <w:adjustRightInd w:val="0"/>
        <w:spacing w:after="0" w:line="240" w:lineRule="auto"/>
        <w:contextualSpacing/>
        <w:rPr>
          <w:rFonts w:ascii="Arial" w:eastAsia="Calibri" w:hAnsi="Arial"/>
          <w:b/>
          <w:color w:val="595959"/>
          <w:sz w:val="20"/>
          <w:szCs w:val="20"/>
          <w:lang w:bidi="ar-AE"/>
        </w:rPr>
      </w:pPr>
    </w:p>
    <w:p w14:paraId="367BE011" w14:textId="122D8FF5" w:rsidR="00D3097D" w:rsidRDefault="00D3097D" w:rsidP="00386DD3">
      <w:pPr>
        <w:autoSpaceDE w:val="0"/>
        <w:autoSpaceDN w:val="0"/>
        <w:adjustRightInd w:val="0"/>
        <w:spacing w:after="0" w:line="240" w:lineRule="auto"/>
        <w:contextualSpacing/>
        <w:rPr>
          <w:rFonts w:ascii="Arial" w:eastAsia="Calibri" w:hAnsi="Arial"/>
          <w:b/>
          <w:color w:val="595959"/>
          <w:sz w:val="20"/>
          <w:szCs w:val="20"/>
          <w:lang w:bidi="ar-AE"/>
        </w:rPr>
      </w:pPr>
      <w:r w:rsidRPr="00F75E4E">
        <w:rPr>
          <w:rFonts w:ascii="Arial" w:eastAsia="Calibri" w:hAnsi="Arial"/>
          <w:b/>
          <w:color w:val="595959"/>
          <w:sz w:val="20"/>
          <w:szCs w:val="20"/>
          <w:lang w:bidi="ar-AE"/>
        </w:rPr>
        <w:t xml:space="preserve">Non-financial </w:t>
      </w:r>
      <w:r w:rsidR="00386DD3">
        <w:rPr>
          <w:rFonts w:ascii="Arial" w:eastAsia="Calibri" w:hAnsi="Arial"/>
          <w:b/>
          <w:color w:val="595959"/>
          <w:sz w:val="20"/>
          <w:szCs w:val="20"/>
          <w:lang w:bidi="ar-AE"/>
        </w:rPr>
        <w:t>sector</w:t>
      </w:r>
    </w:p>
    <w:p w14:paraId="494FB3E2" w14:textId="77777777" w:rsidR="00D3097D" w:rsidRPr="00F75E4E" w:rsidRDefault="00D3097D" w:rsidP="00D3097D">
      <w:pPr>
        <w:autoSpaceDE w:val="0"/>
        <w:autoSpaceDN w:val="0"/>
        <w:adjustRightInd w:val="0"/>
        <w:spacing w:after="0" w:line="240" w:lineRule="auto"/>
        <w:contextualSpacing/>
        <w:rPr>
          <w:rFonts w:ascii="Arial" w:hAnsi="Arial"/>
          <w:color w:val="C00000"/>
          <w:sz w:val="16"/>
          <w:szCs w:val="16"/>
        </w:rPr>
      </w:pPr>
    </w:p>
    <w:p w14:paraId="11B4B86D" w14:textId="02E7DBCB" w:rsidR="00D3097D" w:rsidRDefault="00D3097D" w:rsidP="00F166D1">
      <w:pPr>
        <w:autoSpaceDE w:val="0"/>
        <w:autoSpaceDN w:val="0"/>
        <w:adjustRightInd w:val="0"/>
        <w:spacing w:after="0" w:line="360" w:lineRule="auto"/>
        <w:jc w:val="both"/>
        <w:rPr>
          <w:rFonts w:ascii="Arial" w:eastAsia="Calibri" w:hAnsi="Arial"/>
          <w:bCs/>
          <w:color w:val="595959"/>
          <w:sz w:val="20"/>
          <w:szCs w:val="20"/>
          <w:lang w:bidi="ar-AE"/>
        </w:rPr>
      </w:pPr>
      <w:r w:rsidRPr="00F75E4E">
        <w:rPr>
          <w:rFonts w:ascii="Arial" w:eastAsia="Calibri" w:hAnsi="Arial"/>
          <w:bCs/>
          <w:color w:val="595959"/>
          <w:sz w:val="20"/>
          <w:szCs w:val="20"/>
          <w:lang w:bidi="ar-AE"/>
        </w:rPr>
        <w:t>The value added by the ‘Non-</w:t>
      </w:r>
      <w:r w:rsidRPr="00B46F50">
        <w:rPr>
          <w:rFonts w:ascii="Arial" w:eastAsia="Calibri" w:hAnsi="Arial"/>
          <w:bCs/>
          <w:color w:val="595959"/>
          <w:sz w:val="20"/>
          <w:szCs w:val="20"/>
          <w:lang w:bidi="ar-AE"/>
        </w:rPr>
        <w:t xml:space="preserve">financial’ sector </w:t>
      </w:r>
      <w:r w:rsidR="00752696">
        <w:rPr>
          <w:rFonts w:ascii="Arial" w:eastAsia="Calibri" w:hAnsi="Arial"/>
          <w:bCs/>
          <w:color w:val="595959"/>
          <w:sz w:val="20"/>
          <w:szCs w:val="20"/>
          <w:lang w:bidi="ar-AE"/>
        </w:rPr>
        <w:t>in</w:t>
      </w:r>
      <w:r>
        <w:rPr>
          <w:rFonts w:ascii="Arial" w:eastAsia="Calibri" w:hAnsi="Arial"/>
          <w:bCs/>
          <w:color w:val="595959"/>
          <w:sz w:val="20"/>
          <w:szCs w:val="20"/>
          <w:lang w:bidi="ar-AE"/>
        </w:rPr>
        <w:t>creased</w:t>
      </w:r>
      <w:r w:rsidRPr="00B46F50">
        <w:rPr>
          <w:rFonts w:ascii="Arial" w:eastAsia="Calibri" w:hAnsi="Arial"/>
          <w:bCs/>
          <w:color w:val="595959"/>
          <w:sz w:val="20"/>
          <w:szCs w:val="20"/>
          <w:lang w:bidi="ar-AE"/>
        </w:rPr>
        <w:t xml:space="preserve"> by </w:t>
      </w:r>
      <w:r w:rsidR="00D138B5">
        <w:rPr>
          <w:rFonts w:ascii="Arial" w:eastAsia="Calibri" w:hAnsi="Arial"/>
          <w:bCs/>
          <w:color w:val="595959"/>
          <w:sz w:val="20"/>
          <w:szCs w:val="20"/>
          <w:lang w:bidi="ar-AE"/>
        </w:rPr>
        <w:t>3.5</w:t>
      </w:r>
      <w:r w:rsidR="000335C6" w:rsidRPr="005B59FF">
        <w:rPr>
          <w:rFonts w:ascii="Arial" w:eastAsia="Calibri" w:hAnsi="Arial" w:hint="cs"/>
          <w:b/>
          <w:color w:val="595959"/>
          <w:sz w:val="20"/>
          <w:szCs w:val="20"/>
          <w:rtl/>
          <w:lang w:bidi="ar-AE"/>
        </w:rPr>
        <w:t>%</w:t>
      </w:r>
      <w:r w:rsidRPr="00B46F50">
        <w:rPr>
          <w:rFonts w:ascii="Arial" w:eastAsia="Calibri" w:hAnsi="Arial"/>
          <w:bCs/>
          <w:color w:val="595959"/>
          <w:sz w:val="20"/>
          <w:szCs w:val="20"/>
          <w:lang w:bidi="ar-AE"/>
        </w:rPr>
        <w:t xml:space="preserve"> from AED </w:t>
      </w:r>
      <w:r w:rsidR="00D138B5">
        <w:rPr>
          <w:rFonts w:ascii="Arial" w:eastAsia="Calibri" w:hAnsi="Arial"/>
          <w:bCs/>
          <w:color w:val="595959"/>
          <w:sz w:val="20"/>
          <w:szCs w:val="20"/>
          <w:lang w:bidi="ar-AE"/>
        </w:rPr>
        <w:t>182,285</w:t>
      </w:r>
      <w:r>
        <w:rPr>
          <w:rFonts w:ascii="Arial" w:eastAsia="Calibri" w:hAnsi="Arial"/>
          <w:bCs/>
          <w:color w:val="595959"/>
          <w:sz w:val="20"/>
          <w:szCs w:val="20"/>
          <w:lang w:bidi="ar-AE"/>
        </w:rPr>
        <w:t xml:space="preserve"> </w:t>
      </w:r>
      <w:r w:rsidRPr="00B46F50">
        <w:rPr>
          <w:rFonts w:ascii="Arial" w:eastAsia="Calibri" w:hAnsi="Arial"/>
          <w:bCs/>
          <w:color w:val="595959"/>
          <w:sz w:val="20"/>
          <w:szCs w:val="20"/>
          <w:lang w:bidi="ar-AE"/>
        </w:rPr>
        <w:t xml:space="preserve">million </w:t>
      </w:r>
      <w:r w:rsidRPr="007B4F2E">
        <w:rPr>
          <w:rFonts w:ascii="Arial" w:eastAsia="Calibri" w:hAnsi="Arial"/>
          <w:bCs/>
          <w:color w:val="595959"/>
          <w:sz w:val="20"/>
          <w:szCs w:val="20"/>
          <w:lang w:bidi="ar-AE"/>
        </w:rPr>
        <w:t xml:space="preserve">in the </w:t>
      </w:r>
      <w:r w:rsidR="00A71A48">
        <w:rPr>
          <w:rFonts w:ascii="Arial" w:eastAsia="Calibri" w:hAnsi="Arial"/>
          <w:bCs/>
          <w:color w:val="595959"/>
          <w:sz w:val="20"/>
          <w:szCs w:val="20"/>
          <w:lang w:bidi="ar-AE"/>
        </w:rPr>
        <w:t>first</w:t>
      </w:r>
      <w:r w:rsidR="00C20E7D">
        <w:rPr>
          <w:rFonts w:ascii="Arial" w:eastAsia="Calibri" w:hAnsi="Arial"/>
          <w:bCs/>
          <w:color w:val="595959"/>
          <w:sz w:val="20"/>
          <w:szCs w:val="20"/>
        </w:rPr>
        <w:t xml:space="preserve"> </w:t>
      </w:r>
      <w:r w:rsidR="00DA23C1" w:rsidRPr="007B4F2E">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00C20E7D">
        <w:rPr>
          <w:rFonts w:ascii="Arial" w:eastAsia="Calibri" w:hAnsi="Arial"/>
          <w:bCs/>
          <w:color w:val="595959"/>
          <w:sz w:val="20"/>
          <w:szCs w:val="20"/>
          <w:lang w:bidi="ar-AE"/>
        </w:rPr>
        <w:t xml:space="preserve"> to AED </w:t>
      </w:r>
      <w:r w:rsidR="00D138B5">
        <w:rPr>
          <w:rFonts w:ascii="Arial" w:eastAsia="Calibri" w:hAnsi="Arial"/>
          <w:bCs/>
          <w:color w:val="595959"/>
          <w:sz w:val="20"/>
          <w:szCs w:val="20"/>
          <w:lang w:bidi="ar-AE"/>
        </w:rPr>
        <w:t>188,705</w:t>
      </w:r>
      <w:r w:rsidR="0088125F">
        <w:rPr>
          <w:rFonts w:ascii="Arial" w:eastAsia="Calibri" w:hAnsi="Arial"/>
          <w:bCs/>
          <w:color w:val="595959"/>
          <w:sz w:val="20"/>
          <w:szCs w:val="20"/>
          <w:lang w:bidi="ar-AE"/>
        </w:rPr>
        <w:t xml:space="preserve"> </w:t>
      </w:r>
      <w:r w:rsidRPr="007B4F2E">
        <w:rPr>
          <w:rFonts w:ascii="Arial" w:eastAsia="Calibri" w:hAnsi="Arial"/>
          <w:bCs/>
          <w:color w:val="595959"/>
          <w:sz w:val="20"/>
          <w:szCs w:val="20"/>
          <w:lang w:bidi="ar-AE"/>
        </w:rPr>
        <w:t xml:space="preserve">million in the </w:t>
      </w:r>
      <w:r w:rsidR="00A71A48">
        <w:rPr>
          <w:rFonts w:ascii="Arial" w:eastAsia="Calibri" w:hAnsi="Arial"/>
          <w:bCs/>
          <w:color w:val="595959"/>
          <w:sz w:val="20"/>
          <w:szCs w:val="20"/>
          <w:lang w:bidi="ar-AE"/>
        </w:rPr>
        <w:t>first</w:t>
      </w:r>
      <w:r w:rsidR="00C20E7D">
        <w:rPr>
          <w:rFonts w:ascii="Arial" w:eastAsia="Calibri" w:hAnsi="Arial"/>
          <w:bCs/>
          <w:color w:val="595959"/>
          <w:sz w:val="20"/>
          <w:szCs w:val="20"/>
        </w:rPr>
        <w:t xml:space="preserve"> </w:t>
      </w:r>
      <w:r w:rsidR="00DA23C1" w:rsidRPr="007B4F2E">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Pr="007B4F2E">
        <w:rPr>
          <w:rFonts w:ascii="Arial" w:eastAsia="Calibri" w:hAnsi="Arial"/>
          <w:bCs/>
          <w:color w:val="595959"/>
          <w:sz w:val="20"/>
          <w:szCs w:val="20"/>
          <w:lang w:bidi="ar-AE"/>
        </w:rPr>
        <w:t xml:space="preserve">. Its contribution to total GDP </w:t>
      </w:r>
      <w:r w:rsidR="00F166D1">
        <w:rPr>
          <w:rFonts w:ascii="Arial" w:eastAsia="Calibri" w:hAnsi="Arial"/>
          <w:bCs/>
          <w:color w:val="595959"/>
          <w:sz w:val="20"/>
          <w:szCs w:val="20"/>
          <w:lang w:bidi="ar-AE"/>
        </w:rPr>
        <w:t>increased from</w:t>
      </w:r>
      <w:r w:rsidRPr="00F42DB9">
        <w:rPr>
          <w:rFonts w:ascii="Arial" w:eastAsia="Calibri" w:hAnsi="Arial"/>
          <w:bCs/>
          <w:color w:val="595959"/>
          <w:sz w:val="20"/>
          <w:szCs w:val="20"/>
          <w:lang w:bidi="ar-AE"/>
        </w:rPr>
        <w:t xml:space="preserve"> </w:t>
      </w:r>
      <w:r w:rsidR="00006867">
        <w:rPr>
          <w:rFonts w:ascii="Arial" w:eastAsia="Calibri" w:hAnsi="Arial"/>
          <w:bCs/>
          <w:color w:val="595959"/>
          <w:sz w:val="20"/>
          <w:szCs w:val="20"/>
          <w:lang w:bidi="ar-AE"/>
        </w:rPr>
        <w:t>83.</w:t>
      </w:r>
      <w:r w:rsidR="00D138B5">
        <w:rPr>
          <w:rFonts w:ascii="Arial" w:eastAsia="Calibri" w:hAnsi="Arial"/>
          <w:bCs/>
          <w:color w:val="595959"/>
          <w:sz w:val="20"/>
          <w:szCs w:val="20"/>
          <w:lang w:bidi="ar-AE"/>
        </w:rPr>
        <w:t>3</w:t>
      </w:r>
      <w:r w:rsidRPr="00F42DB9">
        <w:rPr>
          <w:rFonts w:ascii="Arial" w:eastAsia="Calibri" w:hAnsi="Arial"/>
          <w:bCs/>
          <w:color w:val="595959"/>
          <w:sz w:val="20"/>
          <w:szCs w:val="20"/>
          <w:lang w:bidi="ar-AE"/>
        </w:rPr>
        <w:t>%</w:t>
      </w:r>
      <w:r w:rsidRPr="007B4F2E">
        <w:rPr>
          <w:rFonts w:ascii="Arial" w:eastAsia="Calibri" w:hAnsi="Arial"/>
          <w:bCs/>
          <w:color w:val="595959"/>
          <w:sz w:val="20"/>
          <w:szCs w:val="20"/>
          <w:lang w:bidi="ar-AE"/>
        </w:rPr>
        <w:t xml:space="preserve"> in the </w:t>
      </w:r>
      <w:r w:rsidR="00A71A48">
        <w:rPr>
          <w:rFonts w:ascii="Arial" w:eastAsia="Calibri" w:hAnsi="Arial"/>
          <w:bCs/>
          <w:color w:val="595959"/>
          <w:sz w:val="20"/>
          <w:szCs w:val="20"/>
          <w:lang w:bidi="ar-AE"/>
        </w:rPr>
        <w:t>first</w:t>
      </w:r>
      <w:r w:rsidR="00C20E7D">
        <w:rPr>
          <w:rFonts w:ascii="Arial" w:eastAsia="Calibri" w:hAnsi="Arial"/>
          <w:bCs/>
          <w:color w:val="595959"/>
          <w:sz w:val="20"/>
          <w:szCs w:val="20"/>
        </w:rPr>
        <w:t xml:space="preserve"> </w:t>
      </w:r>
      <w:r w:rsidR="00DA23C1" w:rsidRPr="007B4F2E">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00752696" w:rsidRPr="007B4F2E">
        <w:rPr>
          <w:rFonts w:ascii="Arial" w:eastAsia="Calibri" w:hAnsi="Arial"/>
          <w:bCs/>
          <w:color w:val="595959"/>
          <w:sz w:val="20"/>
          <w:szCs w:val="20"/>
          <w:lang w:bidi="ar-AE"/>
        </w:rPr>
        <w:t xml:space="preserve"> </w:t>
      </w:r>
      <w:r w:rsidR="00F166D1">
        <w:rPr>
          <w:rFonts w:ascii="Arial" w:eastAsia="Calibri" w:hAnsi="Arial"/>
          <w:bCs/>
          <w:color w:val="595959"/>
          <w:sz w:val="20"/>
          <w:szCs w:val="20"/>
          <w:lang w:bidi="ar-AE"/>
        </w:rPr>
        <w:t>to</w:t>
      </w:r>
      <w:r w:rsidR="00752696" w:rsidRPr="007B4F2E">
        <w:rPr>
          <w:rFonts w:ascii="Arial" w:eastAsia="Calibri" w:hAnsi="Arial"/>
          <w:bCs/>
          <w:color w:val="595959"/>
          <w:sz w:val="20"/>
          <w:szCs w:val="20"/>
          <w:lang w:bidi="ar-AE"/>
        </w:rPr>
        <w:t xml:space="preserve"> </w:t>
      </w:r>
      <w:r w:rsidR="00D138B5">
        <w:rPr>
          <w:rFonts w:ascii="Arial" w:eastAsia="Calibri" w:hAnsi="Arial"/>
          <w:bCs/>
          <w:color w:val="595959"/>
          <w:sz w:val="20"/>
          <w:szCs w:val="20"/>
          <w:lang w:bidi="ar-AE"/>
        </w:rPr>
        <w:t>83.5</w:t>
      </w:r>
      <w:r w:rsidR="00AD681A" w:rsidRPr="007B4F2E">
        <w:rPr>
          <w:rFonts w:ascii="Arial" w:eastAsia="Calibri" w:hAnsi="Arial"/>
          <w:bCs/>
          <w:color w:val="595959"/>
          <w:sz w:val="20"/>
          <w:szCs w:val="20"/>
          <w:lang w:bidi="ar-AE"/>
        </w:rPr>
        <w:t xml:space="preserve">% in the </w:t>
      </w:r>
      <w:r w:rsidR="00A71A48">
        <w:rPr>
          <w:rFonts w:ascii="Arial" w:eastAsia="Calibri" w:hAnsi="Arial"/>
          <w:bCs/>
          <w:color w:val="595959"/>
          <w:sz w:val="20"/>
          <w:szCs w:val="20"/>
          <w:lang w:bidi="ar-AE"/>
        </w:rPr>
        <w:t>first</w:t>
      </w:r>
      <w:r w:rsidR="00C20E7D">
        <w:rPr>
          <w:rFonts w:ascii="Arial" w:eastAsia="Calibri" w:hAnsi="Arial"/>
          <w:bCs/>
          <w:color w:val="595959"/>
          <w:sz w:val="20"/>
          <w:szCs w:val="20"/>
        </w:rPr>
        <w:t xml:space="preserve"> </w:t>
      </w:r>
      <w:r w:rsidR="00AD681A" w:rsidRPr="007B4F2E">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00752696" w:rsidRPr="007B4F2E">
        <w:rPr>
          <w:rFonts w:ascii="Arial" w:eastAsia="Calibri" w:hAnsi="Arial"/>
          <w:bCs/>
          <w:color w:val="595959"/>
          <w:sz w:val="20"/>
          <w:szCs w:val="20"/>
          <w:lang w:bidi="ar-AE"/>
        </w:rPr>
        <w:t>.</w:t>
      </w:r>
      <w:r w:rsidRPr="00B46F50">
        <w:rPr>
          <w:rFonts w:ascii="Arial" w:eastAsia="Calibri" w:hAnsi="Arial"/>
          <w:bCs/>
          <w:color w:val="595959"/>
          <w:sz w:val="20"/>
          <w:szCs w:val="20"/>
          <w:lang w:bidi="ar-AE"/>
        </w:rPr>
        <w:t xml:space="preserve"> </w:t>
      </w:r>
    </w:p>
    <w:p w14:paraId="5D13E079" w14:textId="77777777" w:rsidR="00447DEA" w:rsidRDefault="00447DEA" w:rsidP="00D409A6">
      <w:pPr>
        <w:pStyle w:val="EcoTableChartTitles"/>
      </w:pPr>
    </w:p>
    <w:p w14:paraId="0EB8D656" w14:textId="77777777" w:rsidR="005561AA" w:rsidRDefault="005561AA" w:rsidP="00D409A6">
      <w:pPr>
        <w:pStyle w:val="EcoTableChartTitles"/>
      </w:pPr>
    </w:p>
    <w:p w14:paraId="4A7F32F8" w14:textId="77777777" w:rsidR="008932B6" w:rsidRDefault="008932B6" w:rsidP="00D409A6">
      <w:pPr>
        <w:pStyle w:val="EcoTableChartTitles"/>
        <w:rPr>
          <w:color w:val="D6A461" w:themeColor="text2"/>
        </w:rPr>
      </w:pPr>
    </w:p>
    <w:p w14:paraId="0CD328FE" w14:textId="77777777" w:rsidR="008932B6" w:rsidRDefault="008932B6" w:rsidP="00D409A6">
      <w:pPr>
        <w:pStyle w:val="EcoTableChartTitles"/>
        <w:rPr>
          <w:color w:val="D6A461" w:themeColor="text2"/>
        </w:rPr>
      </w:pPr>
    </w:p>
    <w:p w14:paraId="52B6C3BE" w14:textId="77777777" w:rsidR="008932B6" w:rsidRDefault="008932B6" w:rsidP="00D409A6">
      <w:pPr>
        <w:pStyle w:val="EcoTableChartTitles"/>
        <w:rPr>
          <w:color w:val="D6A461" w:themeColor="text2"/>
        </w:rPr>
      </w:pPr>
    </w:p>
    <w:p w14:paraId="7BADF759" w14:textId="22DD0A44" w:rsidR="00D3097D" w:rsidRPr="00B2550C" w:rsidRDefault="00D3097D" w:rsidP="00334DE1">
      <w:pPr>
        <w:pStyle w:val="EcoTableChartTitles"/>
      </w:pPr>
      <w:r w:rsidRPr="00263BBB">
        <w:rPr>
          <w:color w:val="D6A461" w:themeColor="text2"/>
        </w:rPr>
        <w:lastRenderedPageBreak/>
        <w:t xml:space="preserve">Figure 6: </w:t>
      </w:r>
      <w:r w:rsidRPr="00576ACA">
        <w:rPr>
          <w:b/>
          <w:bCs/>
        </w:rPr>
        <w:t xml:space="preserve">Percentage change in </w:t>
      </w:r>
      <w:r w:rsidR="00334DE1" w:rsidRPr="00576ACA">
        <w:rPr>
          <w:b/>
          <w:bCs/>
        </w:rPr>
        <w:t>the ‘N</w:t>
      </w:r>
      <w:r w:rsidRPr="00576ACA">
        <w:rPr>
          <w:b/>
          <w:bCs/>
        </w:rPr>
        <w:t>on-financial</w:t>
      </w:r>
      <w:r w:rsidR="00334DE1" w:rsidRPr="00576ACA">
        <w:rPr>
          <w:b/>
          <w:bCs/>
        </w:rPr>
        <w:t>’</w:t>
      </w:r>
      <w:r w:rsidRPr="00576ACA">
        <w:rPr>
          <w:b/>
          <w:bCs/>
        </w:rPr>
        <w:t xml:space="preserve"> </w:t>
      </w:r>
      <w:r w:rsidR="00334DE1" w:rsidRPr="00576ACA">
        <w:rPr>
          <w:b/>
          <w:bCs/>
        </w:rPr>
        <w:t xml:space="preserve">sector </w:t>
      </w:r>
      <w:r w:rsidRPr="00576ACA">
        <w:rPr>
          <w:b/>
          <w:bCs/>
        </w:rPr>
        <w:t>at current prices, from the same quarter of the previous year</w:t>
      </w:r>
    </w:p>
    <w:p w14:paraId="5BF6F942" w14:textId="77FA1CB2" w:rsidR="00D3097D" w:rsidRPr="00E2227A" w:rsidRDefault="007217B6" w:rsidP="00DE5C5E">
      <w:pPr>
        <w:autoSpaceDE w:val="0"/>
        <w:autoSpaceDN w:val="0"/>
        <w:adjustRightInd w:val="0"/>
        <w:spacing w:after="0" w:line="360" w:lineRule="auto"/>
        <w:rPr>
          <w:rFonts w:ascii="Arial" w:eastAsia="Calibri" w:hAnsi="Arial"/>
          <w:bCs/>
          <w:color w:val="595959"/>
          <w:sz w:val="20"/>
          <w:szCs w:val="20"/>
          <w:lang w:bidi="ar-AE"/>
        </w:rPr>
      </w:pPr>
      <w:r>
        <w:rPr>
          <w:noProof/>
        </w:rPr>
        <w:drawing>
          <wp:inline distT="0" distB="0" distL="0" distR="0" wp14:anchorId="512BCDDA" wp14:editId="2EB40D9A">
            <wp:extent cx="5683910" cy="2545689"/>
            <wp:effectExtent l="0" t="0" r="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DF51BD" w14:textId="77777777" w:rsidR="00D3097D" w:rsidRDefault="00D3097D" w:rsidP="00917809">
      <w:pPr>
        <w:pStyle w:val="EcoSourceNote"/>
      </w:pPr>
      <w:r w:rsidRPr="00757155">
        <w:t>Source: Statistics Centre - Abu Dhabi</w:t>
      </w:r>
    </w:p>
    <w:p w14:paraId="32E93290" w14:textId="77777777" w:rsidR="008B41C6" w:rsidRDefault="008B41C6" w:rsidP="00917809">
      <w:pPr>
        <w:pStyle w:val="EcoSourceNote"/>
      </w:pPr>
    </w:p>
    <w:p w14:paraId="3A21BADA" w14:textId="77777777" w:rsidR="003457D6" w:rsidRDefault="003457D6" w:rsidP="00917809">
      <w:pPr>
        <w:pStyle w:val="EcoSourceNote"/>
      </w:pPr>
    </w:p>
    <w:p w14:paraId="0A737B32" w14:textId="07FFB63A" w:rsidR="00D3097D" w:rsidRPr="00B2550C" w:rsidRDefault="00D3097D" w:rsidP="00386DD3">
      <w:pPr>
        <w:autoSpaceDE w:val="0"/>
        <w:autoSpaceDN w:val="0"/>
        <w:adjustRightInd w:val="0"/>
        <w:spacing w:after="0" w:line="360" w:lineRule="auto"/>
        <w:rPr>
          <w:rFonts w:ascii="Arial" w:eastAsia="Calibri" w:hAnsi="Arial"/>
          <w:b/>
          <w:color w:val="595959"/>
          <w:sz w:val="20"/>
          <w:szCs w:val="20"/>
          <w:lang w:bidi="ar-AE"/>
        </w:rPr>
      </w:pPr>
      <w:r w:rsidRPr="00B2550C">
        <w:rPr>
          <w:rFonts w:ascii="Arial" w:eastAsia="Calibri" w:hAnsi="Arial"/>
          <w:b/>
          <w:color w:val="595959"/>
          <w:sz w:val="20"/>
          <w:szCs w:val="20"/>
          <w:lang w:bidi="ar-AE"/>
        </w:rPr>
        <w:t xml:space="preserve">Financial </w:t>
      </w:r>
      <w:r w:rsidR="00386DD3">
        <w:rPr>
          <w:rFonts w:ascii="Arial" w:eastAsia="Calibri" w:hAnsi="Arial"/>
          <w:b/>
          <w:color w:val="595959"/>
          <w:sz w:val="20"/>
          <w:szCs w:val="20"/>
          <w:lang w:bidi="ar-AE"/>
        </w:rPr>
        <w:t>companies sector</w:t>
      </w:r>
    </w:p>
    <w:p w14:paraId="0B49F686" w14:textId="082F0347" w:rsidR="00D3097D" w:rsidRPr="00B57DC8" w:rsidRDefault="00D3097D" w:rsidP="004B0D8C">
      <w:pPr>
        <w:autoSpaceDE w:val="0"/>
        <w:autoSpaceDN w:val="0"/>
        <w:adjustRightInd w:val="0"/>
        <w:spacing w:after="0" w:line="360" w:lineRule="auto"/>
        <w:jc w:val="both"/>
        <w:rPr>
          <w:rFonts w:ascii="Arial" w:eastAsia="Calibri" w:hAnsi="Arial"/>
          <w:bCs/>
          <w:color w:val="595959"/>
          <w:sz w:val="20"/>
          <w:szCs w:val="20"/>
          <w:lang w:bidi="ar-AE"/>
        </w:rPr>
      </w:pPr>
      <w:r w:rsidRPr="006B495F">
        <w:rPr>
          <w:rFonts w:ascii="Arial" w:eastAsia="Calibri" w:hAnsi="Arial"/>
          <w:bCs/>
          <w:color w:val="595959"/>
          <w:sz w:val="20"/>
          <w:szCs w:val="20"/>
          <w:lang w:bidi="ar-AE"/>
        </w:rPr>
        <w:t xml:space="preserve">The </w:t>
      </w:r>
      <w:r w:rsidRPr="00B46F50">
        <w:rPr>
          <w:rFonts w:ascii="Arial" w:eastAsia="Calibri" w:hAnsi="Arial"/>
          <w:bCs/>
          <w:color w:val="595959"/>
          <w:sz w:val="20"/>
          <w:szCs w:val="20"/>
          <w:lang w:bidi="ar-AE"/>
        </w:rPr>
        <w:t xml:space="preserve">value added by the ‘Financial </w:t>
      </w:r>
      <w:r w:rsidR="00334DE1">
        <w:rPr>
          <w:rFonts w:ascii="Arial" w:eastAsia="Calibri" w:hAnsi="Arial"/>
          <w:bCs/>
          <w:color w:val="595959"/>
          <w:sz w:val="20"/>
          <w:szCs w:val="20"/>
          <w:lang w:bidi="ar-AE"/>
        </w:rPr>
        <w:t>companies</w:t>
      </w:r>
      <w:r w:rsidRPr="00B46F50">
        <w:rPr>
          <w:rFonts w:ascii="Arial" w:eastAsia="Calibri" w:hAnsi="Arial"/>
          <w:bCs/>
          <w:color w:val="595959"/>
          <w:sz w:val="20"/>
          <w:szCs w:val="20"/>
          <w:lang w:bidi="ar-AE"/>
        </w:rPr>
        <w:t xml:space="preserve">’ sector </w:t>
      </w:r>
      <w:r w:rsidR="00CB547F">
        <w:rPr>
          <w:rFonts w:ascii="Arial" w:eastAsia="Calibri" w:hAnsi="Arial"/>
          <w:bCs/>
          <w:color w:val="595959"/>
          <w:sz w:val="20"/>
          <w:szCs w:val="20"/>
          <w:lang w:bidi="ar-AE"/>
        </w:rPr>
        <w:t>increased</w:t>
      </w:r>
      <w:r w:rsidRPr="00B46F50">
        <w:rPr>
          <w:rFonts w:ascii="Arial" w:eastAsia="Calibri" w:hAnsi="Arial"/>
          <w:bCs/>
          <w:color w:val="595959"/>
          <w:sz w:val="20"/>
          <w:szCs w:val="20"/>
          <w:lang w:bidi="ar-AE"/>
        </w:rPr>
        <w:t xml:space="preserve"> </w:t>
      </w:r>
      <w:r w:rsidRPr="004B0D8C">
        <w:rPr>
          <w:rFonts w:ascii="Arial" w:eastAsia="Calibri" w:hAnsi="Arial"/>
          <w:bCs/>
          <w:color w:val="595959"/>
          <w:sz w:val="20"/>
          <w:szCs w:val="20"/>
          <w:lang w:bidi="ar-AE"/>
        </w:rPr>
        <w:t xml:space="preserve">by </w:t>
      </w:r>
      <w:r w:rsidR="004B0D8C" w:rsidRPr="004B0D8C">
        <w:rPr>
          <w:rFonts w:ascii="Arial" w:eastAsia="Calibri" w:hAnsi="Arial" w:hint="cs"/>
          <w:b/>
          <w:color w:val="595959"/>
          <w:sz w:val="20"/>
          <w:szCs w:val="20"/>
          <w:rtl/>
          <w:lang w:bidi="ar-AE"/>
        </w:rPr>
        <w:t>0.9</w:t>
      </w:r>
      <w:r w:rsidRPr="004B0D8C">
        <w:rPr>
          <w:rFonts w:ascii="Arial" w:eastAsia="Calibri" w:hAnsi="Arial"/>
          <w:bCs/>
          <w:color w:val="595959"/>
          <w:sz w:val="20"/>
          <w:szCs w:val="20"/>
          <w:lang w:bidi="ar-AE"/>
        </w:rPr>
        <w:t>%</w:t>
      </w:r>
      <w:r w:rsidRPr="00B46F50">
        <w:rPr>
          <w:rFonts w:ascii="Arial" w:eastAsia="Calibri" w:hAnsi="Arial"/>
          <w:bCs/>
          <w:color w:val="595959"/>
          <w:sz w:val="20"/>
          <w:szCs w:val="20"/>
          <w:lang w:bidi="ar-AE"/>
        </w:rPr>
        <w:t xml:space="preserve"> from AED </w:t>
      </w:r>
      <w:r w:rsidR="00D138B5">
        <w:rPr>
          <w:rFonts w:ascii="Arial" w:eastAsia="Calibri" w:hAnsi="Arial"/>
          <w:bCs/>
          <w:color w:val="595959"/>
          <w:sz w:val="20"/>
          <w:szCs w:val="20"/>
          <w:lang w:bidi="ar-AE"/>
        </w:rPr>
        <w:t>19,061</w:t>
      </w:r>
      <w:r w:rsidRPr="00B46F50">
        <w:rPr>
          <w:rFonts w:ascii="Arial" w:eastAsia="Calibri" w:hAnsi="Arial"/>
          <w:bCs/>
          <w:color w:val="595959"/>
          <w:sz w:val="20"/>
          <w:szCs w:val="20"/>
          <w:lang w:bidi="ar-AE"/>
        </w:rPr>
        <w:t xml:space="preserve"> million in the </w:t>
      </w:r>
      <w:r w:rsidR="00A71A48">
        <w:rPr>
          <w:rFonts w:ascii="Arial" w:eastAsia="Calibri" w:hAnsi="Arial"/>
          <w:bCs/>
          <w:color w:val="595959"/>
          <w:sz w:val="20"/>
          <w:szCs w:val="20"/>
          <w:lang w:bidi="ar-AE"/>
        </w:rPr>
        <w:t>first</w:t>
      </w:r>
      <w:r w:rsidR="00C20E7D">
        <w:rPr>
          <w:rFonts w:ascii="Arial" w:eastAsia="Calibri" w:hAnsi="Arial"/>
          <w:bCs/>
          <w:color w:val="595959"/>
          <w:sz w:val="20"/>
          <w:szCs w:val="20"/>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Pr="00B46F50">
        <w:rPr>
          <w:rFonts w:ascii="Arial" w:eastAsia="Calibri" w:hAnsi="Arial"/>
          <w:bCs/>
          <w:color w:val="595959"/>
          <w:sz w:val="20"/>
          <w:szCs w:val="20"/>
          <w:lang w:bidi="ar-AE"/>
        </w:rPr>
        <w:t xml:space="preserve"> to AED </w:t>
      </w:r>
      <w:r w:rsidR="00D138B5">
        <w:rPr>
          <w:rFonts w:ascii="Arial" w:eastAsia="Calibri" w:hAnsi="Arial"/>
          <w:bCs/>
          <w:color w:val="595959"/>
          <w:sz w:val="20"/>
          <w:szCs w:val="20"/>
          <w:lang w:bidi="ar-AE"/>
        </w:rPr>
        <w:t>19,231</w:t>
      </w:r>
      <w:r w:rsidRPr="00B46F50">
        <w:rPr>
          <w:rFonts w:ascii="Arial" w:eastAsia="Calibri" w:hAnsi="Arial"/>
          <w:bCs/>
          <w:color w:val="595959"/>
          <w:sz w:val="20"/>
          <w:szCs w:val="20"/>
          <w:lang w:bidi="ar-AE"/>
        </w:rPr>
        <w:t xml:space="preserve"> million in the </w:t>
      </w:r>
      <w:r w:rsidR="00A71A48">
        <w:rPr>
          <w:rFonts w:ascii="Arial" w:eastAsia="Calibri" w:hAnsi="Arial"/>
          <w:bCs/>
          <w:color w:val="595959"/>
          <w:sz w:val="20"/>
          <w:szCs w:val="20"/>
          <w:lang w:bidi="ar-AE"/>
        </w:rPr>
        <w:t>first</w:t>
      </w:r>
      <w:r w:rsidR="00C20E7D">
        <w:rPr>
          <w:rFonts w:ascii="Arial" w:eastAsia="Calibri" w:hAnsi="Arial"/>
          <w:bCs/>
          <w:color w:val="595959"/>
          <w:sz w:val="20"/>
          <w:szCs w:val="20"/>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Pr="00B46F50">
        <w:rPr>
          <w:rFonts w:ascii="Arial" w:eastAsia="Calibri" w:hAnsi="Arial"/>
          <w:bCs/>
          <w:color w:val="595959"/>
          <w:sz w:val="20"/>
          <w:szCs w:val="20"/>
          <w:lang w:bidi="ar-AE"/>
        </w:rPr>
        <w:t xml:space="preserve">. </w:t>
      </w:r>
      <w:r w:rsidRPr="00F47F3D">
        <w:rPr>
          <w:rFonts w:ascii="Arial" w:eastAsia="Calibri" w:hAnsi="Arial"/>
          <w:bCs/>
          <w:color w:val="595959"/>
          <w:sz w:val="20"/>
          <w:szCs w:val="20"/>
          <w:lang w:bidi="ar-AE"/>
        </w:rPr>
        <w:t xml:space="preserve">Its contribution to total GDP </w:t>
      </w:r>
      <w:r w:rsidR="00715179">
        <w:rPr>
          <w:rFonts w:ascii="Arial" w:eastAsia="Calibri" w:hAnsi="Arial"/>
          <w:bCs/>
          <w:color w:val="595959"/>
          <w:sz w:val="20"/>
          <w:szCs w:val="20"/>
          <w:lang w:bidi="ar-AE"/>
        </w:rPr>
        <w:t>de</w:t>
      </w:r>
      <w:r w:rsidR="00637BC4">
        <w:rPr>
          <w:rFonts w:ascii="Arial" w:eastAsia="Calibri" w:hAnsi="Arial"/>
          <w:bCs/>
          <w:color w:val="595959"/>
          <w:sz w:val="20"/>
          <w:szCs w:val="20"/>
          <w:lang w:bidi="ar-AE"/>
        </w:rPr>
        <w:t xml:space="preserve">creased from </w:t>
      </w:r>
      <w:r w:rsidR="00CB547F">
        <w:rPr>
          <w:rFonts w:ascii="Arial" w:eastAsia="Calibri" w:hAnsi="Arial"/>
          <w:bCs/>
          <w:color w:val="595959"/>
          <w:sz w:val="20"/>
          <w:szCs w:val="20"/>
          <w:lang w:bidi="ar-AE"/>
        </w:rPr>
        <w:t>8.</w:t>
      </w:r>
      <w:r w:rsidR="00D138B5">
        <w:rPr>
          <w:rFonts w:ascii="Arial" w:eastAsia="Calibri" w:hAnsi="Arial"/>
          <w:bCs/>
          <w:color w:val="595959"/>
          <w:sz w:val="20"/>
          <w:szCs w:val="20"/>
          <w:lang w:bidi="ar-AE"/>
        </w:rPr>
        <w:t>7</w:t>
      </w:r>
      <w:r w:rsidRPr="00F47F3D">
        <w:rPr>
          <w:rFonts w:ascii="Arial" w:eastAsia="Calibri" w:hAnsi="Arial"/>
          <w:bCs/>
          <w:color w:val="595959"/>
          <w:sz w:val="20"/>
          <w:szCs w:val="20"/>
          <w:lang w:bidi="ar-AE"/>
        </w:rPr>
        <w:t xml:space="preserve">% in the </w:t>
      </w:r>
      <w:r w:rsidR="00A71A48">
        <w:rPr>
          <w:rFonts w:ascii="Arial" w:eastAsia="Calibri" w:hAnsi="Arial"/>
          <w:bCs/>
          <w:color w:val="595959"/>
          <w:sz w:val="20"/>
          <w:szCs w:val="20"/>
          <w:lang w:bidi="ar-AE"/>
        </w:rPr>
        <w:t>first</w:t>
      </w:r>
      <w:r w:rsidR="0006530D">
        <w:rPr>
          <w:rFonts w:ascii="Arial" w:eastAsia="Calibri" w:hAnsi="Arial"/>
          <w:bCs/>
          <w:color w:val="595959"/>
          <w:sz w:val="20"/>
          <w:szCs w:val="20"/>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Pr="00F47F3D">
        <w:rPr>
          <w:rFonts w:ascii="Arial" w:eastAsia="Calibri" w:hAnsi="Arial"/>
          <w:bCs/>
          <w:color w:val="595959"/>
          <w:sz w:val="20"/>
          <w:szCs w:val="20"/>
          <w:lang w:bidi="ar-AE"/>
        </w:rPr>
        <w:t xml:space="preserve"> </w:t>
      </w:r>
      <w:r w:rsidR="00637BC4">
        <w:rPr>
          <w:rFonts w:ascii="Arial" w:eastAsia="Calibri" w:hAnsi="Arial"/>
          <w:bCs/>
          <w:color w:val="595959"/>
          <w:sz w:val="20"/>
          <w:szCs w:val="20"/>
          <w:lang w:bidi="ar-AE"/>
        </w:rPr>
        <w:t xml:space="preserve">to </w:t>
      </w:r>
      <w:r w:rsidR="00CB547F">
        <w:rPr>
          <w:rFonts w:ascii="Arial" w:eastAsia="Calibri" w:hAnsi="Arial"/>
          <w:bCs/>
          <w:color w:val="595959"/>
          <w:sz w:val="20"/>
          <w:szCs w:val="20"/>
          <w:lang w:bidi="ar-AE"/>
        </w:rPr>
        <w:t>8</w:t>
      </w:r>
      <w:r w:rsidR="004B36BC">
        <w:rPr>
          <w:rFonts w:ascii="Arial" w:eastAsia="Calibri" w:hAnsi="Arial"/>
          <w:bCs/>
          <w:color w:val="595959"/>
          <w:sz w:val="20"/>
          <w:szCs w:val="20"/>
          <w:lang w:bidi="ar-AE"/>
        </w:rPr>
        <w:t>.5</w:t>
      </w:r>
      <w:r w:rsidR="00637BC4">
        <w:rPr>
          <w:rFonts w:ascii="Arial" w:eastAsia="Calibri" w:hAnsi="Arial"/>
          <w:bCs/>
          <w:color w:val="595959"/>
          <w:sz w:val="20"/>
          <w:szCs w:val="20"/>
          <w:lang w:bidi="ar-AE"/>
        </w:rPr>
        <w:t xml:space="preserve">% in the </w:t>
      </w:r>
      <w:r w:rsidR="00A71A48">
        <w:rPr>
          <w:rFonts w:ascii="Arial" w:eastAsia="Calibri" w:hAnsi="Arial"/>
          <w:bCs/>
          <w:color w:val="595959"/>
          <w:sz w:val="20"/>
          <w:szCs w:val="20"/>
          <w:lang w:bidi="ar-AE"/>
        </w:rPr>
        <w:t>first</w:t>
      </w:r>
      <w:r w:rsidR="0006530D">
        <w:rPr>
          <w:rFonts w:ascii="Arial" w:eastAsia="Calibri" w:hAnsi="Arial"/>
          <w:bCs/>
          <w:color w:val="595959"/>
          <w:sz w:val="20"/>
          <w:szCs w:val="20"/>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00637BC4">
        <w:rPr>
          <w:rFonts w:ascii="Arial" w:eastAsia="Calibri" w:hAnsi="Arial"/>
          <w:bCs/>
          <w:color w:val="595959"/>
          <w:sz w:val="20"/>
          <w:szCs w:val="20"/>
          <w:lang w:bidi="ar-AE"/>
        </w:rPr>
        <w:t>.</w:t>
      </w:r>
    </w:p>
    <w:p w14:paraId="2F831F7D" w14:textId="77777777" w:rsidR="00D3097D" w:rsidRDefault="00D3097D" w:rsidP="00D3097D">
      <w:pPr>
        <w:autoSpaceDE w:val="0"/>
        <w:autoSpaceDN w:val="0"/>
        <w:adjustRightInd w:val="0"/>
        <w:spacing w:after="0" w:line="360" w:lineRule="auto"/>
        <w:rPr>
          <w:rFonts w:ascii="Arial" w:eastAsia="Calibri" w:hAnsi="Arial"/>
          <w:b/>
          <w:bCs/>
          <w:color w:val="AA9F8A"/>
        </w:rPr>
      </w:pPr>
    </w:p>
    <w:p w14:paraId="545BC9B6" w14:textId="747B77D8" w:rsidR="00D3097D" w:rsidRDefault="00D3097D" w:rsidP="00334DE1">
      <w:pPr>
        <w:pStyle w:val="EcoTableChartTitles"/>
        <w:rPr>
          <w:b/>
          <w:bCs/>
        </w:rPr>
      </w:pPr>
      <w:r w:rsidRPr="00263BBB">
        <w:rPr>
          <w:color w:val="D6A461" w:themeColor="text2"/>
        </w:rPr>
        <w:t xml:space="preserve">Figure 7: </w:t>
      </w:r>
      <w:r w:rsidRPr="00576ACA">
        <w:rPr>
          <w:b/>
          <w:bCs/>
        </w:rPr>
        <w:t xml:space="preserve">Percentage change in </w:t>
      </w:r>
      <w:r w:rsidR="00334DE1" w:rsidRPr="00576ACA">
        <w:rPr>
          <w:b/>
          <w:bCs/>
        </w:rPr>
        <w:t>the ‘F</w:t>
      </w:r>
      <w:r w:rsidRPr="00576ACA">
        <w:rPr>
          <w:b/>
          <w:bCs/>
        </w:rPr>
        <w:t xml:space="preserve">inancial </w:t>
      </w:r>
      <w:r w:rsidR="00334DE1" w:rsidRPr="00576ACA">
        <w:rPr>
          <w:b/>
          <w:bCs/>
        </w:rPr>
        <w:t>companies’</w:t>
      </w:r>
      <w:r w:rsidRPr="00576ACA">
        <w:rPr>
          <w:b/>
          <w:bCs/>
        </w:rPr>
        <w:t xml:space="preserve"> </w:t>
      </w:r>
      <w:r w:rsidR="00334DE1" w:rsidRPr="00576ACA">
        <w:rPr>
          <w:b/>
          <w:bCs/>
        </w:rPr>
        <w:t xml:space="preserve">sector </w:t>
      </w:r>
      <w:r w:rsidRPr="00576ACA">
        <w:rPr>
          <w:b/>
          <w:bCs/>
        </w:rPr>
        <w:t>at current prices, from the same quarter of the previous year</w:t>
      </w:r>
    </w:p>
    <w:p w14:paraId="70B0A53F" w14:textId="5A00F1A3" w:rsidR="00B876D7" w:rsidRDefault="007217B6" w:rsidP="00334DE1">
      <w:pPr>
        <w:pStyle w:val="EcoTableChartTitles"/>
        <w:rPr>
          <w:color w:val="C00000"/>
          <w:sz w:val="16"/>
          <w:szCs w:val="16"/>
        </w:rPr>
      </w:pPr>
      <w:r>
        <w:rPr>
          <w:noProof/>
          <w:lang w:bidi="ar-SA"/>
        </w:rPr>
        <w:drawing>
          <wp:inline distT="0" distB="0" distL="0" distR="0" wp14:anchorId="7142DDB8" wp14:editId="64035910">
            <wp:extent cx="5936615" cy="2889504"/>
            <wp:effectExtent l="0" t="0" r="6985" b="63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539777" w14:textId="271B87DB" w:rsidR="003B3D13" w:rsidRPr="00B876D7" w:rsidRDefault="00D3097D" w:rsidP="000D313E">
      <w:pPr>
        <w:pStyle w:val="EcoSourceNote"/>
      </w:pPr>
      <w:r w:rsidRPr="00757155">
        <w:t>Sourc</w:t>
      </w:r>
      <w:r w:rsidR="003B3D13">
        <w:t>e: Statistics Centre - Abu Dhabi</w:t>
      </w:r>
    </w:p>
    <w:p w14:paraId="36FCD287" w14:textId="77777777" w:rsidR="007217B6" w:rsidRDefault="007217B6" w:rsidP="00386DD3">
      <w:pPr>
        <w:autoSpaceDE w:val="0"/>
        <w:autoSpaceDN w:val="0"/>
        <w:adjustRightInd w:val="0"/>
        <w:spacing w:after="0" w:line="360" w:lineRule="auto"/>
        <w:rPr>
          <w:rFonts w:ascii="Arial" w:eastAsia="Calibri" w:hAnsi="Arial"/>
          <w:b/>
          <w:color w:val="595959"/>
          <w:sz w:val="20"/>
          <w:szCs w:val="20"/>
          <w:lang w:bidi="ar-AE"/>
        </w:rPr>
      </w:pPr>
    </w:p>
    <w:p w14:paraId="79D5AD83" w14:textId="22E48786" w:rsidR="00D3097D" w:rsidRPr="00B2550C" w:rsidRDefault="00386DD3" w:rsidP="00386DD3">
      <w:pPr>
        <w:autoSpaceDE w:val="0"/>
        <w:autoSpaceDN w:val="0"/>
        <w:adjustRightInd w:val="0"/>
        <w:spacing w:after="0" w:line="360" w:lineRule="auto"/>
        <w:rPr>
          <w:rFonts w:ascii="Arial" w:eastAsia="Calibri" w:hAnsi="Arial"/>
          <w:b/>
          <w:color w:val="595959"/>
          <w:sz w:val="20"/>
          <w:szCs w:val="20"/>
          <w:lang w:bidi="ar-AE"/>
        </w:rPr>
      </w:pPr>
      <w:r>
        <w:rPr>
          <w:rFonts w:ascii="Arial" w:eastAsia="Calibri" w:hAnsi="Arial"/>
          <w:b/>
          <w:color w:val="595959"/>
          <w:sz w:val="20"/>
          <w:szCs w:val="20"/>
          <w:lang w:bidi="ar-AE"/>
        </w:rPr>
        <w:lastRenderedPageBreak/>
        <w:t>General government sector</w:t>
      </w:r>
    </w:p>
    <w:p w14:paraId="156E655E" w14:textId="22F30D51" w:rsidR="00D3097D" w:rsidRPr="00B57DC8" w:rsidRDefault="00D3097D" w:rsidP="00D138B5">
      <w:pPr>
        <w:autoSpaceDE w:val="0"/>
        <w:autoSpaceDN w:val="0"/>
        <w:adjustRightInd w:val="0"/>
        <w:spacing w:after="0" w:line="360" w:lineRule="auto"/>
        <w:jc w:val="both"/>
        <w:rPr>
          <w:rFonts w:ascii="Arial" w:eastAsia="Calibri" w:hAnsi="Arial"/>
          <w:bCs/>
          <w:color w:val="595959"/>
          <w:sz w:val="20"/>
          <w:szCs w:val="20"/>
          <w:lang w:bidi="ar-AE"/>
        </w:rPr>
      </w:pPr>
      <w:r w:rsidRPr="00B46F50">
        <w:rPr>
          <w:rFonts w:ascii="Arial" w:eastAsia="Calibri" w:hAnsi="Arial"/>
          <w:bCs/>
          <w:color w:val="595959"/>
          <w:sz w:val="20"/>
          <w:szCs w:val="20"/>
          <w:lang w:bidi="ar-AE"/>
        </w:rPr>
        <w:t>The value added by the ‘</w:t>
      </w:r>
      <w:r w:rsidR="00334DE1">
        <w:rPr>
          <w:rFonts w:ascii="Arial" w:eastAsia="Calibri" w:hAnsi="Arial"/>
          <w:bCs/>
          <w:color w:val="595959"/>
          <w:sz w:val="20"/>
          <w:szCs w:val="20"/>
          <w:lang w:bidi="ar-AE"/>
        </w:rPr>
        <w:t>General government</w:t>
      </w:r>
      <w:r w:rsidRPr="00B46F50">
        <w:rPr>
          <w:rFonts w:ascii="Arial" w:eastAsia="Calibri" w:hAnsi="Arial"/>
          <w:bCs/>
          <w:color w:val="595959"/>
          <w:sz w:val="20"/>
          <w:szCs w:val="20"/>
          <w:lang w:bidi="ar-AE"/>
        </w:rPr>
        <w:t xml:space="preserve">’ sector </w:t>
      </w:r>
      <w:r w:rsidR="00715179">
        <w:rPr>
          <w:rFonts w:ascii="Arial" w:eastAsia="Calibri" w:hAnsi="Arial"/>
          <w:bCs/>
          <w:color w:val="595959"/>
          <w:sz w:val="20"/>
          <w:szCs w:val="20"/>
          <w:lang w:bidi="ar-AE"/>
        </w:rPr>
        <w:t>inc</w:t>
      </w:r>
      <w:r w:rsidRPr="00DF2393">
        <w:rPr>
          <w:rFonts w:ascii="Arial" w:eastAsia="Calibri" w:hAnsi="Arial"/>
          <w:bCs/>
          <w:color w:val="595959"/>
          <w:sz w:val="20"/>
          <w:szCs w:val="20"/>
          <w:lang w:bidi="ar-AE"/>
        </w:rPr>
        <w:t>reased</w:t>
      </w:r>
      <w:r w:rsidRPr="00B46F50">
        <w:rPr>
          <w:rFonts w:ascii="Arial" w:eastAsia="Calibri" w:hAnsi="Arial"/>
          <w:bCs/>
          <w:color w:val="595959"/>
          <w:sz w:val="20"/>
          <w:szCs w:val="20"/>
          <w:lang w:bidi="ar-AE"/>
        </w:rPr>
        <w:t xml:space="preserve"> by </w:t>
      </w:r>
      <w:r w:rsidR="00D138B5">
        <w:rPr>
          <w:rFonts w:ascii="Arial" w:eastAsia="Calibri" w:hAnsi="Arial"/>
          <w:bCs/>
          <w:color w:val="595959"/>
          <w:sz w:val="20"/>
          <w:szCs w:val="20"/>
          <w:lang w:bidi="ar-AE"/>
        </w:rPr>
        <w:t>2.6</w:t>
      </w:r>
      <w:r w:rsidRPr="00B46F50">
        <w:rPr>
          <w:rFonts w:ascii="Arial" w:eastAsia="Calibri" w:hAnsi="Arial"/>
          <w:bCs/>
          <w:color w:val="595959"/>
          <w:sz w:val="20"/>
          <w:szCs w:val="20"/>
          <w:lang w:bidi="ar-AE"/>
        </w:rPr>
        <w:t xml:space="preserve">% from AED </w:t>
      </w:r>
      <w:r w:rsidR="00D138B5">
        <w:rPr>
          <w:rFonts w:ascii="Arial" w:eastAsia="Calibri" w:hAnsi="Arial"/>
          <w:bCs/>
          <w:color w:val="595959"/>
          <w:sz w:val="20"/>
          <w:szCs w:val="20"/>
          <w:lang w:bidi="ar-AE"/>
        </w:rPr>
        <w:t>16,102</w:t>
      </w:r>
      <w:r w:rsidRPr="00B46F50">
        <w:rPr>
          <w:rFonts w:ascii="Arial" w:eastAsia="Calibri" w:hAnsi="Arial"/>
          <w:bCs/>
          <w:color w:val="595959"/>
          <w:sz w:val="20"/>
          <w:szCs w:val="20"/>
          <w:lang w:bidi="ar-AE"/>
        </w:rPr>
        <w:t xml:space="preserve"> million in the </w:t>
      </w:r>
      <w:r w:rsidR="00A71A48">
        <w:rPr>
          <w:rFonts w:ascii="Arial" w:eastAsia="Calibri" w:hAnsi="Arial"/>
          <w:bCs/>
          <w:color w:val="595959"/>
          <w:sz w:val="20"/>
          <w:szCs w:val="20"/>
          <w:lang w:bidi="ar-AE"/>
        </w:rPr>
        <w:t>first</w:t>
      </w:r>
      <w:r w:rsidR="00E76887">
        <w:rPr>
          <w:rFonts w:ascii="Arial" w:eastAsia="Calibri" w:hAnsi="Arial"/>
          <w:bCs/>
          <w:color w:val="595959"/>
          <w:sz w:val="20"/>
          <w:szCs w:val="20"/>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Pr="00B46F50">
        <w:rPr>
          <w:rFonts w:ascii="Arial" w:eastAsia="Calibri" w:hAnsi="Arial"/>
          <w:bCs/>
          <w:color w:val="595959"/>
          <w:sz w:val="20"/>
          <w:szCs w:val="20"/>
          <w:lang w:bidi="ar-AE"/>
        </w:rPr>
        <w:t xml:space="preserve"> to AED </w:t>
      </w:r>
      <w:r w:rsidR="00DE6DD6">
        <w:rPr>
          <w:rFonts w:ascii="Arial" w:eastAsia="Calibri" w:hAnsi="Arial"/>
          <w:bCs/>
          <w:color w:val="595959"/>
          <w:sz w:val="20"/>
          <w:szCs w:val="20"/>
          <w:lang w:bidi="ar-AE"/>
        </w:rPr>
        <w:t>16,</w:t>
      </w:r>
      <w:r w:rsidR="00CB547F">
        <w:rPr>
          <w:rFonts w:ascii="Arial" w:eastAsia="Calibri" w:hAnsi="Arial"/>
          <w:bCs/>
          <w:color w:val="595959"/>
          <w:sz w:val="20"/>
          <w:szCs w:val="20"/>
          <w:lang w:bidi="ar-AE"/>
        </w:rPr>
        <w:t>519</w:t>
      </w:r>
      <w:r w:rsidR="008E0DC9">
        <w:rPr>
          <w:rFonts w:ascii="Arial" w:eastAsia="Calibri" w:hAnsi="Arial"/>
          <w:bCs/>
          <w:color w:val="595959"/>
          <w:sz w:val="20"/>
          <w:szCs w:val="20"/>
          <w:lang w:bidi="ar-AE"/>
        </w:rPr>
        <w:t xml:space="preserve"> </w:t>
      </w:r>
      <w:r w:rsidRPr="00B46F50">
        <w:rPr>
          <w:rFonts w:ascii="Arial" w:eastAsia="Calibri" w:hAnsi="Arial"/>
          <w:bCs/>
          <w:color w:val="595959"/>
          <w:sz w:val="20"/>
          <w:szCs w:val="20"/>
          <w:lang w:bidi="ar-AE"/>
        </w:rPr>
        <w:t xml:space="preserve">million in the </w:t>
      </w:r>
      <w:r w:rsidR="00A71A48">
        <w:rPr>
          <w:rFonts w:ascii="Arial" w:eastAsia="Calibri" w:hAnsi="Arial"/>
          <w:bCs/>
          <w:color w:val="595959"/>
          <w:sz w:val="20"/>
          <w:szCs w:val="20"/>
          <w:lang w:bidi="ar-AE"/>
        </w:rPr>
        <w:t>first</w:t>
      </w:r>
      <w:r w:rsidR="00E76887">
        <w:rPr>
          <w:rFonts w:ascii="Arial" w:eastAsia="Calibri" w:hAnsi="Arial"/>
          <w:bCs/>
          <w:color w:val="595959"/>
          <w:sz w:val="20"/>
          <w:szCs w:val="20"/>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Pr="00B46F50">
        <w:rPr>
          <w:rFonts w:ascii="Arial" w:eastAsia="Calibri" w:hAnsi="Arial"/>
          <w:bCs/>
          <w:color w:val="595959"/>
          <w:sz w:val="20"/>
          <w:szCs w:val="20"/>
          <w:lang w:bidi="ar-AE"/>
        </w:rPr>
        <w:t xml:space="preserve">. </w:t>
      </w:r>
      <w:r w:rsidR="00C1720C" w:rsidRPr="00663B50">
        <w:rPr>
          <w:rFonts w:ascii="Arial" w:eastAsia="Calibri" w:hAnsi="Arial"/>
          <w:bCs/>
          <w:color w:val="595959"/>
          <w:sz w:val="20"/>
          <w:szCs w:val="20"/>
          <w:lang w:bidi="ar-AE"/>
        </w:rPr>
        <w:t xml:space="preserve">Its contribution to total GDP </w:t>
      </w:r>
      <w:r w:rsidR="00E76887">
        <w:rPr>
          <w:rFonts w:ascii="Arial" w:eastAsia="Calibri" w:hAnsi="Arial"/>
          <w:bCs/>
          <w:color w:val="595959"/>
          <w:sz w:val="20"/>
          <w:szCs w:val="20"/>
          <w:lang w:bidi="ar-AE"/>
        </w:rPr>
        <w:t>de</w:t>
      </w:r>
      <w:r w:rsidR="005428A0">
        <w:rPr>
          <w:rFonts w:ascii="Arial" w:eastAsia="Calibri" w:hAnsi="Arial"/>
          <w:bCs/>
          <w:color w:val="595959"/>
          <w:sz w:val="20"/>
          <w:szCs w:val="20"/>
          <w:lang w:bidi="ar-AE"/>
        </w:rPr>
        <w:t>creased</w:t>
      </w:r>
      <w:r w:rsidR="00E76887">
        <w:rPr>
          <w:rFonts w:ascii="Arial" w:eastAsia="Calibri" w:hAnsi="Arial"/>
          <w:bCs/>
          <w:color w:val="595959"/>
          <w:sz w:val="20"/>
          <w:szCs w:val="20"/>
          <w:lang w:bidi="ar-AE"/>
        </w:rPr>
        <w:t xml:space="preserve"> from </w:t>
      </w:r>
      <w:r w:rsidR="00E76887" w:rsidRPr="00D138B5">
        <w:rPr>
          <w:rFonts w:ascii="Arial" w:eastAsia="Calibri" w:hAnsi="Arial"/>
          <w:bCs/>
          <w:color w:val="595959"/>
          <w:sz w:val="20"/>
          <w:szCs w:val="20"/>
          <w:lang w:bidi="ar-AE"/>
        </w:rPr>
        <w:t>7.</w:t>
      </w:r>
      <w:r w:rsidR="00D138B5" w:rsidRPr="00D138B5">
        <w:rPr>
          <w:rFonts w:ascii="Arial" w:eastAsia="Calibri" w:hAnsi="Arial"/>
          <w:bCs/>
          <w:color w:val="595959"/>
          <w:sz w:val="20"/>
          <w:szCs w:val="20"/>
          <w:lang w:bidi="ar-AE"/>
        </w:rPr>
        <w:t>4</w:t>
      </w:r>
      <w:r w:rsidR="00E76887" w:rsidRPr="00D138B5">
        <w:rPr>
          <w:rFonts w:ascii="Arial" w:eastAsia="Calibri" w:hAnsi="Arial"/>
          <w:bCs/>
          <w:color w:val="595959"/>
          <w:sz w:val="20"/>
          <w:szCs w:val="20"/>
          <w:lang w:bidi="ar-AE"/>
        </w:rPr>
        <w:t>%</w:t>
      </w:r>
      <w:r w:rsidR="00E76887">
        <w:rPr>
          <w:rFonts w:ascii="Arial" w:eastAsia="Calibri" w:hAnsi="Arial"/>
          <w:bCs/>
          <w:color w:val="595959"/>
          <w:sz w:val="20"/>
          <w:szCs w:val="20"/>
          <w:lang w:bidi="ar-AE"/>
        </w:rPr>
        <w:t xml:space="preserve"> to </w:t>
      </w:r>
      <w:r w:rsidR="00D138B5">
        <w:rPr>
          <w:rFonts w:ascii="Arial" w:eastAsia="Calibri" w:hAnsi="Arial"/>
          <w:bCs/>
          <w:color w:val="595959"/>
          <w:sz w:val="20"/>
          <w:szCs w:val="20"/>
          <w:lang w:bidi="ar-AE"/>
        </w:rPr>
        <w:t>7.3</w:t>
      </w:r>
      <w:r w:rsidR="00E76887">
        <w:rPr>
          <w:rFonts w:ascii="Arial" w:eastAsia="Calibri" w:hAnsi="Arial"/>
          <w:bCs/>
          <w:color w:val="595959"/>
          <w:sz w:val="20"/>
          <w:szCs w:val="20"/>
          <w:lang w:bidi="ar-AE"/>
        </w:rPr>
        <w:t>% over the same period.</w:t>
      </w:r>
    </w:p>
    <w:p w14:paraId="74208393" w14:textId="77777777" w:rsidR="00B876D7" w:rsidRDefault="00B876D7" w:rsidP="00334DE1">
      <w:pPr>
        <w:pStyle w:val="EcoTableChartTitles"/>
        <w:rPr>
          <w:color w:val="D6A461" w:themeColor="text2"/>
        </w:rPr>
      </w:pPr>
    </w:p>
    <w:p w14:paraId="1C086867" w14:textId="50BBA4A5" w:rsidR="00D3097D" w:rsidRDefault="00D3097D" w:rsidP="00334DE1">
      <w:pPr>
        <w:pStyle w:val="EcoTableChartTitles"/>
        <w:rPr>
          <w:b/>
          <w:bCs/>
        </w:rPr>
      </w:pPr>
      <w:r w:rsidRPr="00263BBB">
        <w:rPr>
          <w:color w:val="D6A461" w:themeColor="text2"/>
        </w:rPr>
        <w:t xml:space="preserve">Figure 8: </w:t>
      </w:r>
      <w:r w:rsidRPr="00857EC0">
        <w:rPr>
          <w:b/>
          <w:bCs/>
        </w:rPr>
        <w:t xml:space="preserve">Percentage change in </w:t>
      </w:r>
      <w:r w:rsidR="00334DE1" w:rsidRPr="00857EC0">
        <w:rPr>
          <w:b/>
          <w:bCs/>
        </w:rPr>
        <w:t>the ‘General government’</w:t>
      </w:r>
      <w:r w:rsidRPr="00857EC0">
        <w:rPr>
          <w:b/>
          <w:bCs/>
        </w:rPr>
        <w:t xml:space="preserve"> </w:t>
      </w:r>
      <w:r w:rsidR="00334DE1" w:rsidRPr="00857EC0">
        <w:rPr>
          <w:b/>
          <w:bCs/>
        </w:rPr>
        <w:t xml:space="preserve">sector </w:t>
      </w:r>
      <w:r w:rsidRPr="00857EC0">
        <w:rPr>
          <w:b/>
          <w:bCs/>
        </w:rPr>
        <w:t>at current prices, from the same quarter of the previous year</w:t>
      </w:r>
    </w:p>
    <w:p w14:paraId="52BA5F3A" w14:textId="31E68239" w:rsidR="00B876D7" w:rsidRPr="008B41C6" w:rsidRDefault="007217B6" w:rsidP="00334DE1">
      <w:pPr>
        <w:pStyle w:val="EcoTableChartTitles"/>
        <w:rPr>
          <w:rFonts w:asciiTheme="majorHAnsi" w:hAnsiTheme="majorHAnsi" w:cstheme="majorHAnsi"/>
          <w:sz w:val="20"/>
          <w:szCs w:val="20"/>
        </w:rPr>
      </w:pPr>
      <w:r>
        <w:rPr>
          <w:noProof/>
          <w:lang w:bidi="ar-SA"/>
        </w:rPr>
        <w:drawing>
          <wp:inline distT="0" distB="0" distL="0" distR="0" wp14:anchorId="731E8D16" wp14:editId="79CA8759">
            <wp:extent cx="5429250" cy="2185988"/>
            <wp:effectExtent l="0" t="0" r="0" b="508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69F018" w14:textId="03F5C4CF" w:rsidR="00447DEA" w:rsidRPr="006E0362" w:rsidRDefault="00D3097D" w:rsidP="006E0362">
      <w:pPr>
        <w:pStyle w:val="EcoSourceNote"/>
      </w:pPr>
      <w:r w:rsidRPr="006E0362">
        <w:t>Source: Statistics Centre - Abu Dhabi</w:t>
      </w:r>
    </w:p>
    <w:p w14:paraId="21CAFCC3" w14:textId="77777777" w:rsidR="00715179" w:rsidRDefault="00715179" w:rsidP="00917809">
      <w:pPr>
        <w:pStyle w:val="EcoSourceNote"/>
      </w:pPr>
    </w:p>
    <w:p w14:paraId="3BF95527" w14:textId="188311DF" w:rsidR="00D3097D" w:rsidRPr="008C4E93" w:rsidRDefault="00D3097D" w:rsidP="008C4E93">
      <w:pPr>
        <w:autoSpaceDE w:val="0"/>
        <w:autoSpaceDN w:val="0"/>
        <w:adjustRightInd w:val="0"/>
        <w:spacing w:after="0" w:line="360" w:lineRule="auto"/>
        <w:rPr>
          <w:rFonts w:ascii="Arial" w:eastAsia="Calibri" w:hAnsi="Arial"/>
          <w:b/>
          <w:color w:val="595959"/>
          <w:sz w:val="20"/>
          <w:szCs w:val="20"/>
          <w:lang w:bidi="ar-AE"/>
        </w:rPr>
      </w:pPr>
      <w:r w:rsidRPr="008C4E93">
        <w:rPr>
          <w:rFonts w:ascii="Arial" w:eastAsia="Calibri" w:hAnsi="Arial"/>
          <w:b/>
          <w:color w:val="595959"/>
          <w:sz w:val="20"/>
          <w:szCs w:val="20"/>
          <w:lang w:bidi="ar-AE"/>
        </w:rPr>
        <w:t>Household</w:t>
      </w:r>
      <w:r w:rsidR="00386DD3" w:rsidRPr="008C4E93">
        <w:rPr>
          <w:rFonts w:ascii="Arial" w:eastAsia="Calibri" w:hAnsi="Arial"/>
          <w:b/>
          <w:color w:val="595959"/>
          <w:sz w:val="20"/>
          <w:szCs w:val="20"/>
          <w:lang w:bidi="ar-AE"/>
        </w:rPr>
        <w:t xml:space="preserve"> sector</w:t>
      </w:r>
    </w:p>
    <w:p w14:paraId="67448298" w14:textId="33C0035F" w:rsidR="00D3097D" w:rsidRDefault="00D3097D" w:rsidP="00D138B5">
      <w:pPr>
        <w:autoSpaceDE w:val="0"/>
        <w:autoSpaceDN w:val="0"/>
        <w:adjustRightInd w:val="0"/>
        <w:spacing w:after="0" w:line="360" w:lineRule="auto"/>
        <w:jc w:val="both"/>
        <w:rPr>
          <w:rFonts w:ascii="Arial" w:eastAsia="Calibri" w:hAnsi="Arial"/>
          <w:bCs/>
          <w:color w:val="595959"/>
          <w:sz w:val="20"/>
          <w:szCs w:val="20"/>
          <w:lang w:bidi="ar-AE"/>
        </w:rPr>
      </w:pPr>
      <w:r w:rsidRPr="00B46F50">
        <w:rPr>
          <w:rFonts w:ascii="Arial" w:eastAsia="Calibri" w:hAnsi="Arial"/>
          <w:bCs/>
          <w:color w:val="595959"/>
          <w:sz w:val="20"/>
          <w:szCs w:val="20"/>
          <w:lang w:bidi="ar-AE"/>
        </w:rPr>
        <w:t>The value added by the ‘Household</w:t>
      </w:r>
      <w:r w:rsidR="00334DE1">
        <w:rPr>
          <w:rFonts w:ascii="Arial" w:eastAsia="Calibri" w:hAnsi="Arial"/>
          <w:bCs/>
          <w:color w:val="595959"/>
          <w:sz w:val="20"/>
          <w:szCs w:val="20"/>
          <w:lang w:bidi="ar-AE"/>
        </w:rPr>
        <w:t>’</w:t>
      </w:r>
      <w:r w:rsidRPr="00B46F50">
        <w:rPr>
          <w:rFonts w:ascii="Arial" w:eastAsia="Calibri" w:hAnsi="Arial"/>
          <w:bCs/>
          <w:color w:val="595959"/>
          <w:sz w:val="20"/>
          <w:szCs w:val="20"/>
          <w:lang w:bidi="ar-AE"/>
        </w:rPr>
        <w:t xml:space="preserve"> sector increased by </w:t>
      </w:r>
      <w:r w:rsidR="00D138B5">
        <w:rPr>
          <w:rFonts w:ascii="Arial" w:eastAsia="Calibri" w:hAnsi="Arial"/>
          <w:bCs/>
          <w:color w:val="595959"/>
          <w:sz w:val="20"/>
          <w:szCs w:val="20"/>
          <w:lang w:bidi="ar-AE"/>
        </w:rPr>
        <w:t>7.8</w:t>
      </w:r>
      <w:r w:rsidRPr="00B46F50">
        <w:rPr>
          <w:rFonts w:ascii="Arial" w:eastAsia="Calibri" w:hAnsi="Arial"/>
          <w:bCs/>
          <w:color w:val="595959"/>
          <w:sz w:val="20"/>
          <w:szCs w:val="20"/>
          <w:lang w:bidi="ar-AE"/>
        </w:rPr>
        <w:t xml:space="preserve">% from AED </w:t>
      </w:r>
      <w:r>
        <w:rPr>
          <w:rFonts w:ascii="Arial" w:eastAsia="Calibri" w:hAnsi="Arial"/>
          <w:bCs/>
          <w:color w:val="595959"/>
          <w:sz w:val="20"/>
          <w:szCs w:val="20"/>
          <w:lang w:bidi="ar-AE"/>
        </w:rPr>
        <w:t>1,</w:t>
      </w:r>
      <w:r w:rsidR="00CB547F">
        <w:rPr>
          <w:rFonts w:ascii="Arial" w:eastAsia="Calibri" w:hAnsi="Arial"/>
          <w:bCs/>
          <w:color w:val="595959"/>
          <w:sz w:val="20"/>
          <w:szCs w:val="20"/>
          <w:lang w:bidi="ar-AE"/>
        </w:rPr>
        <w:t>4</w:t>
      </w:r>
      <w:r w:rsidR="00D138B5">
        <w:rPr>
          <w:rFonts w:ascii="Arial" w:eastAsia="Calibri" w:hAnsi="Arial"/>
          <w:bCs/>
          <w:color w:val="595959"/>
          <w:sz w:val="20"/>
          <w:szCs w:val="20"/>
          <w:lang w:bidi="ar-AE"/>
        </w:rPr>
        <w:t>70</w:t>
      </w:r>
      <w:r>
        <w:rPr>
          <w:rFonts w:ascii="Arial" w:eastAsia="Calibri" w:hAnsi="Arial"/>
          <w:bCs/>
          <w:color w:val="595959"/>
          <w:sz w:val="20"/>
          <w:szCs w:val="20"/>
          <w:lang w:bidi="ar-AE"/>
        </w:rPr>
        <w:t xml:space="preserve"> </w:t>
      </w:r>
      <w:r w:rsidRPr="00B46F50">
        <w:rPr>
          <w:rFonts w:ascii="Arial" w:eastAsia="Calibri" w:hAnsi="Arial"/>
          <w:bCs/>
          <w:color w:val="595959"/>
          <w:sz w:val="20"/>
          <w:szCs w:val="20"/>
          <w:lang w:bidi="ar-AE"/>
        </w:rPr>
        <w:t xml:space="preserve">million in the </w:t>
      </w:r>
      <w:r w:rsidR="00A71A48">
        <w:rPr>
          <w:rFonts w:ascii="Arial" w:eastAsia="Calibri" w:hAnsi="Arial"/>
          <w:bCs/>
          <w:color w:val="595959"/>
          <w:sz w:val="20"/>
          <w:szCs w:val="20"/>
          <w:lang w:bidi="ar-AE"/>
        </w:rPr>
        <w:t>first</w:t>
      </w:r>
      <w:r w:rsidR="00DA23C1">
        <w:rPr>
          <w:rFonts w:ascii="Arial" w:eastAsia="Calibri" w:hAnsi="Arial"/>
          <w:bCs/>
          <w:color w:val="595959"/>
          <w:sz w:val="20"/>
          <w:szCs w:val="20"/>
          <w:lang w:bidi="ar-AE"/>
        </w:rPr>
        <w:t xml:space="preserve"> quarter of </w:t>
      </w:r>
      <w:r w:rsidR="00A71A48">
        <w:rPr>
          <w:rFonts w:ascii="Arial" w:eastAsia="Calibri" w:hAnsi="Arial"/>
          <w:bCs/>
          <w:color w:val="595959"/>
          <w:sz w:val="20"/>
          <w:szCs w:val="20"/>
          <w:lang w:bidi="ar-AE"/>
        </w:rPr>
        <w:t>2018</w:t>
      </w:r>
      <w:r w:rsidRPr="00B46F50">
        <w:rPr>
          <w:rFonts w:ascii="Arial" w:eastAsia="Calibri" w:hAnsi="Arial"/>
          <w:bCs/>
          <w:color w:val="595959"/>
          <w:sz w:val="20"/>
          <w:szCs w:val="20"/>
          <w:lang w:bidi="ar-AE"/>
        </w:rPr>
        <w:t xml:space="preserve"> to AED </w:t>
      </w:r>
      <w:r w:rsidR="00526BA0">
        <w:rPr>
          <w:rFonts w:ascii="Arial" w:eastAsia="Calibri" w:hAnsi="Arial"/>
          <w:bCs/>
          <w:color w:val="595959"/>
          <w:sz w:val="20"/>
          <w:szCs w:val="20"/>
          <w:lang w:bidi="ar-AE"/>
        </w:rPr>
        <w:t>1,5</w:t>
      </w:r>
      <w:r w:rsidR="00D138B5">
        <w:rPr>
          <w:rFonts w:ascii="Arial" w:eastAsia="Calibri" w:hAnsi="Arial"/>
          <w:bCs/>
          <w:color w:val="595959"/>
          <w:sz w:val="20"/>
          <w:szCs w:val="20"/>
          <w:lang w:bidi="ar-AE"/>
        </w:rPr>
        <w:t>85</w:t>
      </w:r>
      <w:r w:rsidRPr="00B46F50">
        <w:rPr>
          <w:rFonts w:ascii="Arial" w:eastAsia="Calibri" w:hAnsi="Arial"/>
          <w:bCs/>
          <w:color w:val="595959"/>
          <w:sz w:val="20"/>
          <w:szCs w:val="20"/>
          <w:lang w:bidi="ar-AE"/>
        </w:rPr>
        <w:t xml:space="preserve"> mi</w:t>
      </w:r>
      <w:r w:rsidRPr="00663B50">
        <w:rPr>
          <w:rFonts w:ascii="Arial" w:eastAsia="Calibri" w:hAnsi="Arial"/>
          <w:bCs/>
          <w:color w:val="595959"/>
          <w:sz w:val="20"/>
          <w:szCs w:val="20"/>
          <w:lang w:bidi="ar-AE"/>
        </w:rPr>
        <w:t xml:space="preserve">llion in the </w:t>
      </w:r>
      <w:r w:rsidR="00A71A48">
        <w:rPr>
          <w:rFonts w:ascii="Arial" w:eastAsia="Calibri" w:hAnsi="Arial"/>
          <w:bCs/>
          <w:color w:val="595959"/>
          <w:sz w:val="20"/>
          <w:szCs w:val="20"/>
          <w:lang w:bidi="ar-AE"/>
        </w:rPr>
        <w:t>first</w:t>
      </w:r>
      <w:r w:rsidR="005C6D6A">
        <w:rPr>
          <w:rFonts w:ascii="Arial" w:eastAsia="Calibri" w:hAnsi="Arial"/>
          <w:bCs/>
          <w:color w:val="595959"/>
          <w:sz w:val="20"/>
          <w:szCs w:val="20"/>
        </w:rPr>
        <w:t xml:space="preserve"> </w:t>
      </w:r>
      <w:r w:rsidR="00DA23C1" w:rsidRPr="00663B50">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Pr="00663B50">
        <w:rPr>
          <w:rFonts w:ascii="Arial" w:eastAsia="Calibri" w:hAnsi="Arial"/>
          <w:bCs/>
          <w:color w:val="595959"/>
          <w:sz w:val="20"/>
          <w:szCs w:val="20"/>
          <w:lang w:bidi="ar-AE"/>
        </w:rPr>
        <w:t xml:space="preserve">. </w:t>
      </w:r>
      <w:r w:rsidR="0084566E" w:rsidRPr="00663B50">
        <w:rPr>
          <w:rFonts w:ascii="Arial" w:eastAsia="Calibri" w:hAnsi="Arial"/>
          <w:bCs/>
          <w:color w:val="595959"/>
          <w:sz w:val="20"/>
          <w:szCs w:val="20"/>
          <w:lang w:bidi="ar-AE"/>
        </w:rPr>
        <w:t xml:space="preserve">Its contribution to total GDP </w:t>
      </w:r>
      <w:r w:rsidR="00D138B5">
        <w:rPr>
          <w:rFonts w:ascii="Arial" w:eastAsia="Calibri" w:hAnsi="Arial"/>
          <w:bCs/>
          <w:color w:val="595959"/>
          <w:sz w:val="20"/>
          <w:szCs w:val="20"/>
          <w:lang w:bidi="ar-AE"/>
        </w:rPr>
        <w:t>remained at 0.7%</w:t>
      </w:r>
      <w:r w:rsidR="005C6D6A">
        <w:rPr>
          <w:rFonts w:ascii="Arial" w:eastAsia="Calibri" w:hAnsi="Arial"/>
          <w:bCs/>
          <w:color w:val="595959"/>
          <w:sz w:val="20"/>
          <w:szCs w:val="20"/>
          <w:lang w:bidi="ar-AE"/>
        </w:rPr>
        <w:t xml:space="preserve"> </w:t>
      </w:r>
      <w:r w:rsidR="00526BA0">
        <w:rPr>
          <w:rFonts w:ascii="Arial" w:eastAsia="Calibri" w:hAnsi="Arial"/>
          <w:bCs/>
          <w:color w:val="595959"/>
          <w:sz w:val="20"/>
          <w:szCs w:val="20"/>
          <w:lang w:bidi="ar-AE"/>
        </w:rPr>
        <w:t>o</w:t>
      </w:r>
      <w:r w:rsidR="00D138B5">
        <w:rPr>
          <w:rFonts w:ascii="Arial" w:eastAsia="Calibri" w:hAnsi="Arial"/>
          <w:bCs/>
          <w:color w:val="595959"/>
          <w:sz w:val="20"/>
          <w:szCs w:val="20"/>
          <w:lang w:bidi="ar-AE"/>
        </w:rPr>
        <w:t xml:space="preserve">ver the </w:t>
      </w:r>
      <w:r w:rsidR="0084566E" w:rsidRPr="00663B50">
        <w:rPr>
          <w:rFonts w:ascii="Arial" w:eastAsia="Calibri" w:hAnsi="Arial"/>
          <w:bCs/>
          <w:color w:val="595959"/>
          <w:sz w:val="20"/>
          <w:szCs w:val="20"/>
          <w:lang w:bidi="ar-AE"/>
        </w:rPr>
        <w:t>period.</w:t>
      </w:r>
    </w:p>
    <w:p w14:paraId="4A5301B8" w14:textId="77777777" w:rsidR="00C615DC" w:rsidRPr="009E4DCA" w:rsidRDefault="00C615DC" w:rsidP="004E0359">
      <w:pPr>
        <w:autoSpaceDE w:val="0"/>
        <w:autoSpaceDN w:val="0"/>
        <w:adjustRightInd w:val="0"/>
        <w:spacing w:after="0" w:line="360" w:lineRule="auto"/>
        <w:jc w:val="both"/>
        <w:rPr>
          <w:rFonts w:ascii="Arial" w:eastAsia="Calibri" w:hAnsi="Arial"/>
          <w:bCs/>
          <w:color w:val="595959"/>
          <w:sz w:val="14"/>
          <w:szCs w:val="14"/>
          <w:lang w:bidi="ar-AE"/>
        </w:rPr>
      </w:pPr>
    </w:p>
    <w:p w14:paraId="6D75DD63" w14:textId="0A502022" w:rsidR="00D3097D" w:rsidRPr="009E1D1F" w:rsidRDefault="00D3097D" w:rsidP="00334DE1">
      <w:pPr>
        <w:autoSpaceDE w:val="0"/>
        <w:autoSpaceDN w:val="0"/>
        <w:adjustRightInd w:val="0"/>
        <w:spacing w:after="0" w:line="360" w:lineRule="auto"/>
        <w:rPr>
          <w:rFonts w:ascii="Arial" w:eastAsia="Calibri" w:hAnsi="Arial"/>
          <w:b/>
          <w:bCs/>
          <w:color w:val="595959"/>
        </w:rPr>
      </w:pPr>
      <w:r w:rsidRPr="00263BBB">
        <w:rPr>
          <w:rFonts w:ascii="Arial" w:eastAsia="Calibri" w:hAnsi="Arial"/>
          <w:b/>
          <w:bCs/>
          <w:color w:val="D6A461" w:themeColor="text2"/>
        </w:rPr>
        <w:t xml:space="preserve">Figure 9: </w:t>
      </w:r>
      <w:r w:rsidRPr="00576ACA">
        <w:rPr>
          <w:rFonts w:ascii="Arial" w:eastAsia="Calibri" w:hAnsi="Arial"/>
          <w:b/>
          <w:bCs/>
          <w:color w:val="595959"/>
        </w:rPr>
        <w:t xml:space="preserve">Percentage change in </w:t>
      </w:r>
      <w:r w:rsidR="00334DE1" w:rsidRPr="00576ACA">
        <w:rPr>
          <w:rFonts w:ascii="Arial" w:eastAsia="Calibri" w:hAnsi="Arial"/>
          <w:b/>
          <w:bCs/>
          <w:color w:val="595959"/>
        </w:rPr>
        <w:t xml:space="preserve">the ‘Household’ sector </w:t>
      </w:r>
      <w:r w:rsidRPr="00576ACA">
        <w:rPr>
          <w:rFonts w:ascii="Arial" w:eastAsia="Calibri" w:hAnsi="Arial"/>
          <w:b/>
          <w:bCs/>
          <w:color w:val="595959"/>
        </w:rPr>
        <w:t>at current prices, from the same quarter of the previous year</w:t>
      </w:r>
    </w:p>
    <w:p w14:paraId="6102BBF0" w14:textId="5718EDEB" w:rsidR="005A378C" w:rsidRPr="00B876D7" w:rsidRDefault="007217B6" w:rsidP="00B876D7">
      <w:pPr>
        <w:autoSpaceDE w:val="0"/>
        <w:autoSpaceDN w:val="0"/>
        <w:adjustRightInd w:val="0"/>
        <w:spacing w:after="0" w:line="240" w:lineRule="auto"/>
        <w:contextualSpacing/>
        <w:rPr>
          <w:rFonts w:ascii="Arial" w:hAnsi="Arial"/>
          <w:b/>
          <w:bCs/>
          <w:color w:val="C00000"/>
          <w:sz w:val="16"/>
          <w:szCs w:val="16"/>
        </w:rPr>
      </w:pPr>
      <w:r>
        <w:rPr>
          <w:noProof/>
        </w:rPr>
        <w:drawing>
          <wp:inline distT="0" distB="0" distL="0" distR="0" wp14:anchorId="726C2BA2" wp14:editId="436F6B45">
            <wp:extent cx="5257800" cy="2586038"/>
            <wp:effectExtent l="0" t="0" r="0" b="508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F0CE43" w14:textId="77777777" w:rsidR="005A378C" w:rsidRDefault="005A378C" w:rsidP="00917809">
      <w:pPr>
        <w:pStyle w:val="EcoSourceNote"/>
      </w:pPr>
    </w:p>
    <w:p w14:paraId="51B12937" w14:textId="77777777" w:rsidR="00D3097D" w:rsidRDefault="00D3097D" w:rsidP="00917809">
      <w:pPr>
        <w:pStyle w:val="EcoSourceNote"/>
      </w:pPr>
      <w:r w:rsidRPr="00757155">
        <w:t>Source: Statistics Centre - Abu Dhabi</w:t>
      </w:r>
    </w:p>
    <w:p w14:paraId="78A61877" w14:textId="48D59851" w:rsidR="00D3097D" w:rsidRPr="00866311" w:rsidRDefault="00D3097D" w:rsidP="00866311">
      <w:pPr>
        <w:pStyle w:val="EcoHeading1"/>
        <w:ind w:left="0"/>
      </w:pPr>
      <w:r w:rsidRPr="00866311">
        <w:lastRenderedPageBreak/>
        <w:t>Gross Domestic Product by Sectors at Constant prices</w:t>
      </w:r>
    </w:p>
    <w:p w14:paraId="17057529" w14:textId="77777777" w:rsidR="00D3097D" w:rsidRPr="00B2550C" w:rsidRDefault="00D3097D" w:rsidP="00D3097D">
      <w:pPr>
        <w:autoSpaceDE w:val="0"/>
        <w:autoSpaceDN w:val="0"/>
        <w:adjustRightInd w:val="0"/>
        <w:spacing w:after="0" w:line="240" w:lineRule="auto"/>
        <w:contextualSpacing/>
        <w:rPr>
          <w:rFonts w:ascii="Arial" w:hAnsi="Arial"/>
          <w:color w:val="595959"/>
          <w:sz w:val="20"/>
          <w:szCs w:val="20"/>
        </w:rPr>
      </w:pPr>
    </w:p>
    <w:p w14:paraId="476C56F9" w14:textId="1F1856AA" w:rsidR="00D3097D" w:rsidRDefault="00D3097D" w:rsidP="0028521F">
      <w:pPr>
        <w:autoSpaceDE w:val="0"/>
        <w:autoSpaceDN w:val="0"/>
        <w:adjustRightInd w:val="0"/>
        <w:spacing w:after="0" w:line="360" w:lineRule="auto"/>
        <w:jc w:val="both"/>
        <w:rPr>
          <w:rFonts w:ascii="Arial" w:eastAsia="Calibri" w:hAnsi="Arial"/>
          <w:bCs/>
          <w:color w:val="595959"/>
          <w:sz w:val="20"/>
          <w:szCs w:val="20"/>
        </w:rPr>
      </w:pPr>
      <w:r w:rsidRPr="00334F18">
        <w:rPr>
          <w:rFonts w:ascii="Arial" w:eastAsia="Calibri" w:hAnsi="Arial"/>
          <w:bCs/>
          <w:color w:val="595959"/>
          <w:sz w:val="20"/>
          <w:szCs w:val="20"/>
        </w:rPr>
        <w:t xml:space="preserve">The GDP at constant prices </w:t>
      </w:r>
      <w:r w:rsidR="00331F4B">
        <w:rPr>
          <w:rFonts w:ascii="Arial" w:eastAsia="Calibri" w:hAnsi="Arial"/>
          <w:bCs/>
          <w:color w:val="595959"/>
          <w:sz w:val="20"/>
          <w:szCs w:val="20"/>
        </w:rPr>
        <w:t>in</w:t>
      </w:r>
      <w:r w:rsidRPr="00334F18">
        <w:rPr>
          <w:rFonts w:ascii="Arial" w:eastAsia="Calibri" w:hAnsi="Arial"/>
          <w:bCs/>
          <w:color w:val="595959"/>
          <w:sz w:val="20"/>
          <w:szCs w:val="20"/>
        </w:rPr>
        <w:t xml:space="preserve">creased by </w:t>
      </w:r>
      <w:r w:rsidR="00D138B5">
        <w:rPr>
          <w:rFonts w:ascii="Arial" w:eastAsia="Calibri" w:hAnsi="Arial"/>
          <w:bCs/>
          <w:color w:val="595959"/>
          <w:sz w:val="20"/>
          <w:szCs w:val="20"/>
        </w:rPr>
        <w:t>5</w:t>
      </w:r>
      <w:r w:rsidR="00CB547F">
        <w:rPr>
          <w:rFonts w:ascii="Arial" w:eastAsia="Calibri" w:hAnsi="Arial"/>
          <w:bCs/>
          <w:color w:val="595959"/>
          <w:sz w:val="20"/>
          <w:szCs w:val="20"/>
        </w:rPr>
        <w:t>.7</w:t>
      </w:r>
      <w:r w:rsidR="005C6D6A">
        <w:rPr>
          <w:rFonts w:ascii="Arial" w:eastAsia="Calibri" w:hAnsi="Arial"/>
          <w:bCs/>
          <w:color w:val="595959"/>
          <w:sz w:val="20"/>
          <w:szCs w:val="20"/>
        </w:rPr>
        <w:t xml:space="preserve">% in the </w:t>
      </w:r>
      <w:r w:rsidR="00A71A48">
        <w:rPr>
          <w:rFonts w:ascii="Arial" w:eastAsia="Calibri" w:hAnsi="Arial"/>
          <w:bCs/>
          <w:color w:val="595959"/>
          <w:sz w:val="20"/>
          <w:szCs w:val="20"/>
        </w:rPr>
        <w:t>first</w:t>
      </w:r>
      <w:r w:rsidR="005C6D6A">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Pr="00334F18">
        <w:rPr>
          <w:rFonts w:ascii="Arial" w:eastAsia="Calibri" w:hAnsi="Arial"/>
          <w:bCs/>
          <w:color w:val="595959"/>
          <w:sz w:val="20"/>
          <w:szCs w:val="20"/>
        </w:rPr>
        <w:t xml:space="preserve">, compared with the </w:t>
      </w:r>
      <w:r w:rsidR="00A71A48">
        <w:rPr>
          <w:rFonts w:ascii="Arial" w:eastAsia="Calibri" w:hAnsi="Arial"/>
          <w:bCs/>
          <w:color w:val="595959"/>
          <w:sz w:val="20"/>
          <w:szCs w:val="20"/>
        </w:rPr>
        <w:t>first</w:t>
      </w:r>
      <w:r w:rsidR="005C6D6A">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2018</w:t>
      </w:r>
      <w:r w:rsidRPr="00334F18">
        <w:rPr>
          <w:rFonts w:ascii="Arial" w:eastAsia="Calibri" w:hAnsi="Arial"/>
          <w:bCs/>
          <w:color w:val="595959"/>
          <w:sz w:val="20"/>
          <w:szCs w:val="20"/>
        </w:rPr>
        <w:t>.</w:t>
      </w:r>
      <w:r w:rsidR="00A813FA" w:rsidRPr="00334F18">
        <w:rPr>
          <w:rFonts w:ascii="Arial" w:eastAsia="Calibri" w:hAnsi="Arial"/>
          <w:bCs/>
          <w:color w:val="595959"/>
          <w:sz w:val="20"/>
          <w:szCs w:val="20"/>
        </w:rPr>
        <w:t xml:space="preserve"> </w:t>
      </w:r>
      <w:r w:rsidR="007E7523">
        <w:rPr>
          <w:rFonts w:ascii="Arial" w:eastAsia="Calibri" w:hAnsi="Arial"/>
          <w:bCs/>
          <w:color w:val="595959"/>
          <w:sz w:val="20"/>
          <w:szCs w:val="20"/>
        </w:rPr>
        <w:t>T</w:t>
      </w:r>
      <w:r w:rsidRPr="00334F18">
        <w:rPr>
          <w:rFonts w:ascii="Arial" w:eastAsia="Calibri" w:hAnsi="Arial"/>
          <w:bCs/>
          <w:color w:val="595959"/>
          <w:sz w:val="20"/>
          <w:szCs w:val="20"/>
        </w:rPr>
        <w:t xml:space="preserve">he value added of </w:t>
      </w:r>
      <w:r w:rsidR="00D34E2C">
        <w:rPr>
          <w:rFonts w:ascii="Arial" w:eastAsia="Calibri" w:hAnsi="Arial"/>
          <w:bCs/>
          <w:color w:val="595959"/>
          <w:sz w:val="20"/>
          <w:szCs w:val="20"/>
        </w:rPr>
        <w:t xml:space="preserve">the </w:t>
      </w:r>
      <w:r w:rsidR="004C3AC1" w:rsidRPr="00334F18">
        <w:rPr>
          <w:rFonts w:ascii="Arial" w:eastAsia="Calibri" w:hAnsi="Arial"/>
          <w:bCs/>
          <w:color w:val="595959"/>
          <w:sz w:val="20"/>
          <w:szCs w:val="20"/>
        </w:rPr>
        <w:t>‘</w:t>
      </w:r>
      <w:r w:rsidR="00331F4B">
        <w:rPr>
          <w:rFonts w:ascii="Arial" w:eastAsia="Calibri" w:hAnsi="Arial"/>
          <w:bCs/>
          <w:color w:val="595959"/>
          <w:sz w:val="20"/>
          <w:szCs w:val="20"/>
        </w:rPr>
        <w:t>General government</w:t>
      </w:r>
      <w:r w:rsidR="004C3AC1" w:rsidRPr="00334F18">
        <w:rPr>
          <w:rFonts w:ascii="Arial" w:eastAsia="Calibri" w:hAnsi="Arial"/>
          <w:bCs/>
          <w:color w:val="595959"/>
          <w:sz w:val="20"/>
          <w:szCs w:val="20"/>
        </w:rPr>
        <w:t>’</w:t>
      </w:r>
      <w:r w:rsidR="00D34E2C">
        <w:rPr>
          <w:rFonts w:ascii="Arial" w:eastAsia="Calibri" w:hAnsi="Arial"/>
          <w:bCs/>
          <w:color w:val="595959"/>
          <w:sz w:val="20"/>
          <w:szCs w:val="20"/>
        </w:rPr>
        <w:t xml:space="preserve"> sector</w:t>
      </w:r>
      <w:r w:rsidRPr="00334F18">
        <w:rPr>
          <w:rFonts w:ascii="Arial" w:eastAsia="Calibri" w:hAnsi="Arial"/>
          <w:bCs/>
          <w:color w:val="595959"/>
          <w:sz w:val="20"/>
          <w:szCs w:val="20"/>
        </w:rPr>
        <w:t xml:space="preserve"> </w:t>
      </w:r>
      <w:r w:rsidR="00D138B5">
        <w:rPr>
          <w:rFonts w:ascii="Arial" w:eastAsia="Calibri" w:hAnsi="Arial"/>
          <w:bCs/>
          <w:color w:val="595959"/>
          <w:sz w:val="20"/>
          <w:szCs w:val="20"/>
        </w:rPr>
        <w:t>in</w:t>
      </w:r>
      <w:r w:rsidRPr="00334F18">
        <w:rPr>
          <w:rFonts w:ascii="Arial" w:eastAsia="Calibri" w:hAnsi="Arial"/>
          <w:bCs/>
          <w:color w:val="595959"/>
          <w:sz w:val="20"/>
          <w:szCs w:val="20"/>
        </w:rPr>
        <w:t>creased by</w:t>
      </w:r>
      <w:r w:rsidR="005C6D6A">
        <w:rPr>
          <w:rFonts w:ascii="Arial" w:eastAsia="Calibri" w:hAnsi="Arial"/>
          <w:bCs/>
          <w:color w:val="595959"/>
          <w:sz w:val="20"/>
          <w:szCs w:val="20"/>
        </w:rPr>
        <w:t xml:space="preserve"> </w:t>
      </w:r>
      <w:r w:rsidR="00D138B5">
        <w:rPr>
          <w:rFonts w:ascii="Arial" w:eastAsia="Calibri" w:hAnsi="Arial"/>
          <w:bCs/>
          <w:color w:val="595959"/>
          <w:sz w:val="20"/>
          <w:szCs w:val="20"/>
        </w:rPr>
        <w:t>0.1</w:t>
      </w:r>
      <w:r w:rsidR="00A813FA" w:rsidRPr="00334F18">
        <w:rPr>
          <w:rFonts w:ascii="Arial" w:eastAsia="Calibri" w:hAnsi="Arial"/>
          <w:bCs/>
          <w:color w:val="595959"/>
          <w:sz w:val="20"/>
          <w:szCs w:val="20"/>
        </w:rPr>
        <w:t xml:space="preserve">% </w:t>
      </w:r>
      <w:r w:rsidR="00A81321" w:rsidRPr="00334F18">
        <w:rPr>
          <w:rFonts w:ascii="Arial" w:eastAsia="Calibri" w:hAnsi="Arial"/>
          <w:bCs/>
          <w:color w:val="595959"/>
          <w:sz w:val="20"/>
          <w:szCs w:val="20"/>
        </w:rPr>
        <w:t xml:space="preserve">in the </w:t>
      </w:r>
      <w:r w:rsidR="00A71A48">
        <w:rPr>
          <w:rFonts w:ascii="Arial" w:eastAsia="Calibri" w:hAnsi="Arial"/>
          <w:bCs/>
          <w:color w:val="595959"/>
          <w:sz w:val="20"/>
          <w:szCs w:val="20"/>
        </w:rPr>
        <w:t>first</w:t>
      </w:r>
      <w:r w:rsidR="005C6D6A">
        <w:rPr>
          <w:rFonts w:ascii="Arial" w:eastAsia="Calibri" w:hAnsi="Arial"/>
          <w:bCs/>
          <w:color w:val="595959"/>
          <w:sz w:val="20"/>
          <w:szCs w:val="20"/>
        </w:rPr>
        <w:t xml:space="preserve"> </w:t>
      </w:r>
      <w:r w:rsidR="00A81321">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00A81321" w:rsidRPr="00334F18">
        <w:rPr>
          <w:rFonts w:ascii="Arial" w:eastAsia="Calibri" w:hAnsi="Arial"/>
          <w:bCs/>
          <w:color w:val="595959"/>
          <w:sz w:val="20"/>
          <w:szCs w:val="20"/>
        </w:rPr>
        <w:t xml:space="preserve">, compared </w:t>
      </w:r>
      <w:r w:rsidR="008A3264" w:rsidRPr="00334F18">
        <w:rPr>
          <w:rFonts w:ascii="Arial" w:eastAsia="Calibri" w:hAnsi="Arial"/>
          <w:bCs/>
          <w:color w:val="595959"/>
          <w:sz w:val="20"/>
          <w:szCs w:val="20"/>
        </w:rPr>
        <w:t xml:space="preserve">with </w:t>
      </w:r>
      <w:r w:rsidR="007E7523">
        <w:rPr>
          <w:rFonts w:ascii="Arial" w:eastAsia="Calibri" w:hAnsi="Arial"/>
          <w:bCs/>
          <w:color w:val="595959"/>
          <w:sz w:val="20"/>
          <w:szCs w:val="20"/>
        </w:rPr>
        <w:t xml:space="preserve">the </w:t>
      </w:r>
      <w:r w:rsidR="008A3264" w:rsidRPr="00334F18">
        <w:rPr>
          <w:rFonts w:ascii="Arial" w:eastAsia="Calibri" w:hAnsi="Arial"/>
          <w:bCs/>
          <w:color w:val="595959"/>
          <w:sz w:val="20"/>
          <w:szCs w:val="20"/>
        </w:rPr>
        <w:t xml:space="preserve">same quarter in </w:t>
      </w:r>
      <w:r w:rsidR="007E7523">
        <w:rPr>
          <w:rFonts w:ascii="Arial" w:eastAsia="Calibri" w:hAnsi="Arial"/>
          <w:bCs/>
          <w:color w:val="595959"/>
          <w:sz w:val="20"/>
          <w:szCs w:val="20"/>
        </w:rPr>
        <w:t xml:space="preserve">the </w:t>
      </w:r>
      <w:r w:rsidR="008A3264" w:rsidRPr="00334F18">
        <w:rPr>
          <w:rFonts w:ascii="Arial" w:eastAsia="Calibri" w:hAnsi="Arial"/>
          <w:bCs/>
          <w:color w:val="595959"/>
          <w:sz w:val="20"/>
          <w:szCs w:val="20"/>
        </w:rPr>
        <w:t>previous year</w:t>
      </w:r>
      <w:r w:rsidR="004B6F55">
        <w:rPr>
          <w:rFonts w:ascii="Arial" w:eastAsia="Calibri" w:hAnsi="Arial"/>
          <w:bCs/>
          <w:color w:val="595959"/>
          <w:sz w:val="20"/>
          <w:szCs w:val="20"/>
        </w:rPr>
        <w:t xml:space="preserve">. </w:t>
      </w:r>
      <w:r w:rsidR="00785CDB">
        <w:rPr>
          <w:rFonts w:ascii="Arial" w:eastAsia="Calibri" w:hAnsi="Arial"/>
          <w:bCs/>
          <w:color w:val="595959"/>
          <w:sz w:val="20"/>
          <w:szCs w:val="20"/>
        </w:rPr>
        <w:t>V</w:t>
      </w:r>
      <w:r w:rsidR="00A813FA" w:rsidRPr="00334F18">
        <w:rPr>
          <w:rFonts w:ascii="Arial" w:eastAsia="Calibri" w:hAnsi="Arial"/>
          <w:bCs/>
          <w:color w:val="595959"/>
          <w:sz w:val="20"/>
          <w:szCs w:val="20"/>
        </w:rPr>
        <w:t>alue added by the ‘</w:t>
      </w:r>
      <w:r w:rsidR="00331F4B">
        <w:rPr>
          <w:rFonts w:ascii="Arial" w:eastAsia="Calibri" w:hAnsi="Arial"/>
          <w:bCs/>
          <w:color w:val="595959"/>
          <w:sz w:val="20"/>
          <w:szCs w:val="20"/>
        </w:rPr>
        <w:t>Household</w:t>
      </w:r>
      <w:r w:rsidR="00A813FA" w:rsidRPr="00334F18">
        <w:rPr>
          <w:rFonts w:ascii="Arial" w:eastAsia="Calibri" w:hAnsi="Arial"/>
          <w:bCs/>
          <w:color w:val="595959"/>
          <w:sz w:val="20"/>
          <w:szCs w:val="20"/>
        </w:rPr>
        <w:t xml:space="preserve">’ </w:t>
      </w:r>
      <w:r w:rsidR="00D34E2C">
        <w:rPr>
          <w:rFonts w:ascii="Arial" w:eastAsia="Calibri" w:hAnsi="Arial"/>
          <w:bCs/>
          <w:color w:val="595959"/>
          <w:sz w:val="20"/>
          <w:szCs w:val="20"/>
        </w:rPr>
        <w:t xml:space="preserve">sector </w:t>
      </w:r>
      <w:r w:rsidR="00785CDB">
        <w:rPr>
          <w:rFonts w:ascii="Arial" w:eastAsia="Calibri" w:hAnsi="Arial"/>
          <w:bCs/>
          <w:color w:val="595959"/>
          <w:sz w:val="20"/>
          <w:szCs w:val="20"/>
        </w:rPr>
        <w:t>in</w:t>
      </w:r>
      <w:r w:rsidR="00A813FA" w:rsidRPr="00334F18">
        <w:rPr>
          <w:rFonts w:ascii="Arial" w:eastAsia="Calibri" w:hAnsi="Arial"/>
          <w:bCs/>
          <w:color w:val="595959"/>
          <w:sz w:val="20"/>
          <w:szCs w:val="20"/>
        </w:rPr>
        <w:t xml:space="preserve">creased by </w:t>
      </w:r>
      <w:r w:rsidR="00CB547F">
        <w:rPr>
          <w:rFonts w:ascii="Arial" w:eastAsia="Calibri" w:hAnsi="Arial"/>
          <w:bCs/>
          <w:color w:val="595959"/>
          <w:sz w:val="20"/>
          <w:szCs w:val="20"/>
        </w:rPr>
        <w:t>3.1</w:t>
      </w:r>
      <w:r w:rsidR="00A813FA" w:rsidRPr="00334F18">
        <w:rPr>
          <w:rFonts w:ascii="Arial" w:eastAsia="Calibri" w:hAnsi="Arial"/>
          <w:bCs/>
          <w:color w:val="595959"/>
          <w:sz w:val="20"/>
          <w:szCs w:val="20"/>
        </w:rPr>
        <w:t xml:space="preserve">% from the </w:t>
      </w:r>
      <w:r w:rsidR="00A71A48">
        <w:rPr>
          <w:rFonts w:ascii="Arial" w:eastAsia="Calibri" w:hAnsi="Arial"/>
          <w:bCs/>
          <w:color w:val="595959"/>
          <w:sz w:val="20"/>
          <w:szCs w:val="20"/>
        </w:rPr>
        <w:t>first</w:t>
      </w:r>
      <w:r w:rsidR="004B6F55">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2018</w:t>
      </w:r>
      <w:r w:rsidR="00A813FA" w:rsidRPr="00334F18">
        <w:rPr>
          <w:rFonts w:ascii="Arial" w:eastAsia="Calibri" w:hAnsi="Arial"/>
          <w:bCs/>
          <w:color w:val="595959"/>
          <w:sz w:val="20"/>
          <w:szCs w:val="20"/>
        </w:rPr>
        <w:t xml:space="preserve"> to the </w:t>
      </w:r>
      <w:r w:rsidR="00A71A48">
        <w:rPr>
          <w:rFonts w:ascii="Arial" w:eastAsia="Calibri" w:hAnsi="Arial"/>
          <w:bCs/>
          <w:color w:val="595959"/>
          <w:sz w:val="20"/>
          <w:szCs w:val="20"/>
        </w:rPr>
        <w:t>first</w:t>
      </w:r>
      <w:r w:rsidR="004B6F55">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005F4C24">
        <w:rPr>
          <w:rFonts w:ascii="Arial" w:eastAsia="Calibri" w:hAnsi="Arial"/>
          <w:bCs/>
          <w:color w:val="595959"/>
          <w:sz w:val="20"/>
          <w:szCs w:val="20"/>
        </w:rPr>
        <w:t xml:space="preserve">, while </w:t>
      </w:r>
      <w:r w:rsidR="00D34E2C">
        <w:rPr>
          <w:rFonts w:ascii="Arial" w:eastAsia="Calibri" w:hAnsi="Arial"/>
          <w:bCs/>
          <w:color w:val="595959"/>
          <w:sz w:val="20"/>
          <w:szCs w:val="20"/>
        </w:rPr>
        <w:t xml:space="preserve">the </w:t>
      </w:r>
      <w:r w:rsidR="005F4C24">
        <w:rPr>
          <w:rFonts w:ascii="Arial" w:eastAsia="Calibri" w:hAnsi="Arial"/>
          <w:bCs/>
          <w:color w:val="595959"/>
          <w:sz w:val="20"/>
          <w:szCs w:val="20"/>
        </w:rPr>
        <w:t>‘</w:t>
      </w:r>
      <w:r w:rsidR="00331F4B">
        <w:rPr>
          <w:rFonts w:ascii="Arial" w:eastAsia="Calibri" w:hAnsi="Arial"/>
          <w:bCs/>
          <w:color w:val="595959"/>
          <w:sz w:val="20"/>
          <w:szCs w:val="20"/>
        </w:rPr>
        <w:t>Non-financial</w:t>
      </w:r>
      <w:r w:rsidR="00D34E2C">
        <w:rPr>
          <w:rFonts w:ascii="Arial" w:eastAsia="Calibri" w:hAnsi="Arial"/>
          <w:bCs/>
          <w:color w:val="595959"/>
          <w:sz w:val="20"/>
          <w:szCs w:val="20"/>
        </w:rPr>
        <w:t xml:space="preserve">’ sector </w:t>
      </w:r>
      <w:r w:rsidR="00866602">
        <w:rPr>
          <w:rFonts w:ascii="Arial" w:eastAsia="Calibri" w:hAnsi="Arial"/>
          <w:bCs/>
          <w:color w:val="595959"/>
          <w:sz w:val="20"/>
          <w:szCs w:val="20"/>
        </w:rPr>
        <w:t xml:space="preserve">increased </w:t>
      </w:r>
      <w:r w:rsidR="004B6F55">
        <w:rPr>
          <w:rFonts w:ascii="Arial" w:eastAsia="Calibri" w:hAnsi="Arial"/>
          <w:bCs/>
          <w:color w:val="595959"/>
          <w:sz w:val="20"/>
          <w:szCs w:val="20"/>
          <w:lang w:bidi="ar-AE"/>
        </w:rPr>
        <w:t xml:space="preserve">by </w:t>
      </w:r>
      <w:r w:rsidR="00D138B5">
        <w:rPr>
          <w:rFonts w:ascii="Arial" w:eastAsia="Calibri" w:hAnsi="Arial"/>
          <w:bCs/>
          <w:color w:val="595959"/>
          <w:sz w:val="20"/>
          <w:szCs w:val="20"/>
          <w:lang w:bidi="ar-AE"/>
        </w:rPr>
        <w:t>6.7</w:t>
      </w:r>
      <w:r w:rsidR="008416D0" w:rsidRPr="00334F18">
        <w:rPr>
          <w:rFonts w:ascii="Arial" w:eastAsia="Calibri" w:hAnsi="Arial"/>
          <w:bCs/>
          <w:color w:val="595959"/>
          <w:sz w:val="20"/>
          <w:szCs w:val="20"/>
          <w:lang w:bidi="ar-AE"/>
        </w:rPr>
        <w:t xml:space="preserve">% </w:t>
      </w:r>
      <w:r w:rsidR="008416D0" w:rsidRPr="00334F18">
        <w:rPr>
          <w:rFonts w:ascii="Arial" w:eastAsia="Calibri" w:hAnsi="Arial"/>
          <w:bCs/>
          <w:color w:val="595959"/>
          <w:sz w:val="20"/>
          <w:szCs w:val="20"/>
        </w:rPr>
        <w:t xml:space="preserve">in the </w:t>
      </w:r>
      <w:r w:rsidR="00A71A48">
        <w:rPr>
          <w:rFonts w:ascii="Arial" w:eastAsia="Calibri" w:hAnsi="Arial"/>
          <w:bCs/>
          <w:color w:val="595959"/>
          <w:sz w:val="20"/>
          <w:szCs w:val="20"/>
        </w:rPr>
        <w:t>first</w:t>
      </w:r>
      <w:r w:rsidR="004B6F55">
        <w:rPr>
          <w:rFonts w:ascii="Arial" w:eastAsia="Calibri" w:hAnsi="Arial"/>
          <w:bCs/>
          <w:color w:val="595959"/>
          <w:sz w:val="20"/>
          <w:szCs w:val="20"/>
        </w:rPr>
        <w:t xml:space="preserve"> </w:t>
      </w:r>
      <w:r w:rsidR="00DA23C1">
        <w:rPr>
          <w:rFonts w:ascii="Arial" w:eastAsia="Calibri" w:hAnsi="Arial"/>
          <w:bCs/>
          <w:color w:val="595959"/>
          <w:sz w:val="20"/>
          <w:szCs w:val="20"/>
        </w:rPr>
        <w:t xml:space="preserve">quarter of </w:t>
      </w:r>
      <w:r w:rsidR="00A71A48">
        <w:rPr>
          <w:rFonts w:ascii="Arial" w:eastAsia="Calibri" w:hAnsi="Arial"/>
          <w:bCs/>
          <w:color w:val="595959"/>
          <w:sz w:val="20"/>
          <w:szCs w:val="20"/>
        </w:rPr>
        <w:t>2019</w:t>
      </w:r>
      <w:r w:rsidR="008416D0" w:rsidRPr="00334F18">
        <w:rPr>
          <w:rFonts w:ascii="Arial" w:eastAsia="Calibri" w:hAnsi="Arial"/>
          <w:bCs/>
          <w:color w:val="595959"/>
          <w:sz w:val="20"/>
          <w:szCs w:val="20"/>
        </w:rPr>
        <w:t xml:space="preserve"> compared with the same quarter in </w:t>
      </w:r>
      <w:r w:rsidR="00A71A48">
        <w:rPr>
          <w:rFonts w:ascii="Arial" w:eastAsia="Calibri" w:hAnsi="Arial"/>
          <w:bCs/>
          <w:color w:val="595959"/>
          <w:sz w:val="20"/>
          <w:szCs w:val="20"/>
        </w:rPr>
        <w:t>2018</w:t>
      </w:r>
      <w:r w:rsidR="009E16AC">
        <w:rPr>
          <w:rFonts w:ascii="Arial" w:eastAsia="Calibri" w:hAnsi="Arial"/>
          <w:bCs/>
          <w:color w:val="595959"/>
          <w:sz w:val="20"/>
          <w:szCs w:val="20"/>
        </w:rPr>
        <w:t>.</w:t>
      </w:r>
      <w:r w:rsidR="0028521F">
        <w:rPr>
          <w:rFonts w:ascii="Arial" w:eastAsia="Calibri" w:hAnsi="Arial"/>
          <w:bCs/>
          <w:color w:val="595959"/>
          <w:sz w:val="20"/>
          <w:szCs w:val="20"/>
        </w:rPr>
        <w:t xml:space="preserve"> </w:t>
      </w:r>
      <w:r w:rsidR="0028521F">
        <w:rPr>
          <w:rFonts w:ascii="Arial" w:eastAsia="Calibri" w:hAnsi="Arial"/>
          <w:bCs/>
          <w:color w:val="595959"/>
          <w:sz w:val="20"/>
          <w:szCs w:val="20"/>
        </w:rPr>
        <w:t>Over the same period, t</w:t>
      </w:r>
      <w:r w:rsidR="0028521F" w:rsidRPr="004B6F55">
        <w:rPr>
          <w:rFonts w:ascii="Arial" w:eastAsia="Calibri" w:hAnsi="Arial"/>
          <w:bCs/>
          <w:color w:val="595959"/>
          <w:sz w:val="20"/>
          <w:szCs w:val="20"/>
        </w:rPr>
        <w:t>he value added by the ‘Financial companie</w:t>
      </w:r>
      <w:r w:rsidR="0028521F">
        <w:rPr>
          <w:rFonts w:ascii="Arial" w:eastAsia="Calibri" w:hAnsi="Arial"/>
          <w:bCs/>
          <w:color w:val="595959"/>
          <w:sz w:val="20"/>
          <w:szCs w:val="20"/>
        </w:rPr>
        <w:t>s’</w:t>
      </w:r>
      <w:r w:rsidR="0028521F" w:rsidRPr="004B6F55">
        <w:rPr>
          <w:rFonts w:ascii="Arial" w:eastAsia="Calibri" w:hAnsi="Arial"/>
          <w:bCs/>
          <w:color w:val="595959"/>
          <w:sz w:val="20"/>
          <w:szCs w:val="20"/>
        </w:rPr>
        <w:t xml:space="preserve"> sector </w:t>
      </w:r>
      <w:r w:rsidR="0028521F">
        <w:rPr>
          <w:rFonts w:ascii="Arial" w:eastAsia="Calibri" w:hAnsi="Arial"/>
          <w:bCs/>
          <w:color w:val="595959"/>
          <w:sz w:val="20"/>
          <w:szCs w:val="20"/>
        </w:rPr>
        <w:t>decreased</w:t>
      </w:r>
      <w:r w:rsidR="0028521F" w:rsidRPr="004B6F55">
        <w:rPr>
          <w:rFonts w:ascii="Arial" w:eastAsia="Calibri" w:hAnsi="Arial"/>
          <w:bCs/>
          <w:color w:val="595959"/>
          <w:sz w:val="20"/>
          <w:szCs w:val="20"/>
        </w:rPr>
        <w:t xml:space="preserve"> by </w:t>
      </w:r>
      <w:r w:rsidR="0028521F">
        <w:rPr>
          <w:rFonts w:ascii="Arial" w:eastAsia="Calibri" w:hAnsi="Arial"/>
          <w:bCs/>
          <w:color w:val="595959"/>
          <w:sz w:val="20"/>
          <w:szCs w:val="20"/>
        </w:rPr>
        <w:t>2.4</w:t>
      </w:r>
      <w:r w:rsidR="0028521F" w:rsidRPr="004B6F55">
        <w:rPr>
          <w:rFonts w:ascii="Arial" w:eastAsia="Calibri" w:hAnsi="Arial"/>
          <w:bCs/>
          <w:color w:val="595959"/>
          <w:sz w:val="20"/>
          <w:szCs w:val="20"/>
        </w:rPr>
        <w:t>%.</w:t>
      </w:r>
    </w:p>
    <w:p w14:paraId="7A7C892A" w14:textId="090AB91A" w:rsidR="009E22F8" w:rsidRPr="00B46F50" w:rsidRDefault="009E22F8" w:rsidP="006C7A49">
      <w:pPr>
        <w:autoSpaceDE w:val="0"/>
        <w:autoSpaceDN w:val="0"/>
        <w:adjustRightInd w:val="0"/>
        <w:spacing w:after="0" w:line="360" w:lineRule="auto"/>
        <w:jc w:val="both"/>
        <w:rPr>
          <w:rFonts w:ascii="Arial" w:eastAsia="Calibri" w:hAnsi="Arial"/>
          <w:bCs/>
          <w:color w:val="595959"/>
          <w:sz w:val="20"/>
          <w:szCs w:val="20"/>
        </w:rPr>
      </w:pPr>
    </w:p>
    <w:p w14:paraId="27E40667" w14:textId="3DCFF474" w:rsidR="000D712A" w:rsidRDefault="000D712A" w:rsidP="00D3097D">
      <w:pPr>
        <w:tabs>
          <w:tab w:val="left" w:pos="1663"/>
        </w:tabs>
        <w:autoSpaceDE w:val="0"/>
        <w:autoSpaceDN w:val="0"/>
        <w:adjustRightInd w:val="0"/>
        <w:spacing w:after="0" w:line="360" w:lineRule="auto"/>
        <w:contextualSpacing/>
        <w:rPr>
          <w:rFonts w:ascii="Arial" w:eastAsia="Calibri" w:hAnsi="Arial"/>
          <w:b/>
          <w:bCs/>
          <w:color w:val="D6A461" w:themeColor="text2"/>
        </w:rPr>
      </w:pPr>
    </w:p>
    <w:p w14:paraId="27F59EF7" w14:textId="6681BB6A" w:rsidR="00D3097D" w:rsidRDefault="00B93361" w:rsidP="00D3097D">
      <w:pPr>
        <w:tabs>
          <w:tab w:val="left" w:pos="1663"/>
        </w:tabs>
        <w:autoSpaceDE w:val="0"/>
        <w:autoSpaceDN w:val="0"/>
        <w:adjustRightInd w:val="0"/>
        <w:spacing w:after="0" w:line="360" w:lineRule="auto"/>
        <w:contextualSpacing/>
        <w:rPr>
          <w:rFonts w:ascii="Arial" w:eastAsia="Calibri" w:hAnsi="Arial"/>
          <w:b/>
          <w:bCs/>
          <w:color w:val="595959"/>
        </w:rPr>
      </w:pPr>
      <w:r>
        <w:rPr>
          <w:noProof/>
        </w:rPr>
        <w:drawing>
          <wp:anchor distT="0" distB="0" distL="114300" distR="114300" simplePos="0" relativeHeight="251715584" behindDoc="1" locked="0" layoutInCell="1" allowOverlap="1" wp14:anchorId="7D7EFC1E" wp14:editId="7B4E237B">
            <wp:simplePos x="0" y="0"/>
            <wp:positionH relativeFrom="margin">
              <wp:align>left</wp:align>
            </wp:positionH>
            <wp:positionV relativeFrom="paragraph">
              <wp:posOffset>448996</wp:posOffset>
            </wp:positionV>
            <wp:extent cx="6112841" cy="2743200"/>
            <wp:effectExtent l="0" t="0" r="254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D3097D" w:rsidRPr="00263BBB">
        <w:rPr>
          <w:rFonts w:ascii="Arial" w:eastAsia="Calibri" w:hAnsi="Arial"/>
          <w:b/>
          <w:bCs/>
          <w:color w:val="D6A461" w:themeColor="text2"/>
        </w:rPr>
        <w:t xml:space="preserve">Figure 10: </w:t>
      </w:r>
      <w:r w:rsidR="00D3097D" w:rsidRPr="001968A2">
        <w:rPr>
          <w:rFonts w:ascii="Arial" w:eastAsia="Calibri" w:hAnsi="Arial"/>
          <w:b/>
          <w:bCs/>
          <w:color w:val="595959"/>
        </w:rPr>
        <w:t>Percentage change in Gross Domestic Product by sectors at constant 2007 prices</w:t>
      </w:r>
      <w:r w:rsidR="00D3097D" w:rsidRPr="006A0ED3">
        <w:rPr>
          <w:rFonts w:ascii="Arial" w:eastAsia="Calibri" w:hAnsi="Arial"/>
          <w:b/>
          <w:bCs/>
          <w:color w:val="595959"/>
        </w:rPr>
        <w:t xml:space="preserve"> </w:t>
      </w:r>
    </w:p>
    <w:p w14:paraId="14E02BF8" w14:textId="6B9D5570" w:rsidR="00D3097D" w:rsidRDefault="00D3097D" w:rsidP="00D3097D">
      <w:pPr>
        <w:autoSpaceDE w:val="0"/>
        <w:autoSpaceDN w:val="0"/>
        <w:adjustRightInd w:val="0"/>
        <w:spacing w:after="0" w:line="240" w:lineRule="auto"/>
        <w:contextualSpacing/>
        <w:rPr>
          <w:rFonts w:ascii="Arial" w:hAnsi="Arial"/>
          <w:b/>
          <w:bCs/>
          <w:noProof/>
          <w:color w:val="7F7F7F"/>
          <w:sz w:val="16"/>
          <w:szCs w:val="16"/>
        </w:rPr>
      </w:pPr>
    </w:p>
    <w:p w14:paraId="18B6A266" w14:textId="5F90C79D" w:rsidR="001E596D" w:rsidRDefault="001E596D" w:rsidP="001E596D">
      <w:pPr>
        <w:tabs>
          <w:tab w:val="left" w:pos="1663"/>
        </w:tabs>
        <w:autoSpaceDE w:val="0"/>
        <w:autoSpaceDN w:val="0"/>
        <w:adjustRightInd w:val="0"/>
        <w:spacing w:after="0" w:line="360" w:lineRule="auto"/>
        <w:contextualSpacing/>
        <w:rPr>
          <w:rFonts w:ascii="Arial" w:eastAsia="Calibri" w:hAnsi="Arial"/>
          <w:b/>
          <w:bCs/>
          <w:color w:val="595959"/>
        </w:rPr>
      </w:pPr>
    </w:p>
    <w:p w14:paraId="3180D03D" w14:textId="1D88116C" w:rsidR="001E596D" w:rsidRDefault="001E596D" w:rsidP="001E596D">
      <w:pPr>
        <w:autoSpaceDE w:val="0"/>
        <w:autoSpaceDN w:val="0"/>
        <w:adjustRightInd w:val="0"/>
        <w:spacing w:after="0" w:line="240" w:lineRule="auto"/>
        <w:contextualSpacing/>
        <w:jc w:val="center"/>
        <w:rPr>
          <w:rFonts w:ascii="Arial" w:hAnsi="Arial"/>
          <w:b/>
          <w:bCs/>
          <w:noProof/>
          <w:color w:val="7F7F7F"/>
          <w:sz w:val="16"/>
          <w:szCs w:val="16"/>
        </w:rPr>
      </w:pPr>
    </w:p>
    <w:p w14:paraId="35C17BF1" w14:textId="532D5653" w:rsidR="001E596D" w:rsidRDefault="001E596D" w:rsidP="001E596D">
      <w:pPr>
        <w:autoSpaceDE w:val="0"/>
        <w:autoSpaceDN w:val="0"/>
        <w:adjustRightInd w:val="0"/>
        <w:spacing w:after="0" w:line="240" w:lineRule="auto"/>
        <w:contextualSpacing/>
        <w:rPr>
          <w:rFonts w:ascii="Arial" w:hAnsi="Arial"/>
          <w:b/>
          <w:bCs/>
          <w:noProof/>
          <w:color w:val="7F7F7F"/>
          <w:sz w:val="16"/>
          <w:szCs w:val="16"/>
        </w:rPr>
      </w:pPr>
    </w:p>
    <w:p w14:paraId="30EB2BB5" w14:textId="487B9B3F" w:rsidR="009E16AC" w:rsidRDefault="00C368EA" w:rsidP="00C368EA">
      <w:pPr>
        <w:pStyle w:val="EcoSourceNote"/>
        <w:tabs>
          <w:tab w:val="left" w:pos="2145"/>
        </w:tabs>
      </w:pPr>
      <w:r>
        <w:tab/>
      </w:r>
    </w:p>
    <w:p w14:paraId="00381512" w14:textId="6EC27CB4" w:rsidR="00AA291A" w:rsidRDefault="00AA291A" w:rsidP="00917809">
      <w:pPr>
        <w:pStyle w:val="EcoSourceNote"/>
      </w:pPr>
    </w:p>
    <w:p w14:paraId="028CFBDB" w14:textId="3636F808" w:rsidR="00AA291A" w:rsidRDefault="005F5195" w:rsidP="00917809">
      <w:pPr>
        <w:pStyle w:val="EcoSourceNote"/>
      </w:pPr>
      <w:r w:rsidRPr="005F5195">
        <w:rPr>
          <w:rFonts w:ascii="Calibri" w:eastAsia="Times New Roman" w:hAnsi="Calibri" w:cs="Arial"/>
          <w:noProof/>
          <w:color w:val="auto"/>
          <w:sz w:val="22"/>
          <w:szCs w:val="22"/>
          <w:lang w:val="en-US" w:eastAsia="en-US" w:bidi="ar-SA"/>
        </w:rPr>
        <mc:AlternateContent>
          <mc:Choice Requires="wps">
            <w:drawing>
              <wp:anchor distT="0" distB="0" distL="114300" distR="114300" simplePos="0" relativeHeight="251717632" behindDoc="0" locked="0" layoutInCell="1" allowOverlap="1" wp14:anchorId="3FBA42C3" wp14:editId="3A72EF45">
                <wp:simplePos x="0" y="0"/>
                <wp:positionH relativeFrom="column">
                  <wp:posOffset>13589</wp:posOffset>
                </wp:positionH>
                <wp:positionV relativeFrom="paragraph">
                  <wp:posOffset>50318</wp:posOffset>
                </wp:positionV>
                <wp:extent cx="205110" cy="503250"/>
                <wp:effectExtent l="0" t="0" r="0" b="0"/>
                <wp:wrapSquare wrapText="bothSides"/>
                <wp:docPr id="2" name="TextBox 1"/>
                <wp:cNvGraphicFramePr/>
                <a:graphic xmlns:a="http://schemas.openxmlformats.org/drawingml/2006/main">
                  <a:graphicData uri="http://schemas.microsoft.com/office/word/2010/wordprocessingShape">
                    <wps:wsp>
                      <wps:cNvSpPr txBox="1"/>
                      <wps:spPr>
                        <a:xfrm>
                          <a:off x="0" y="0"/>
                          <a:ext cx="205110" cy="503250"/>
                        </a:xfrm>
                        <a:prstGeom prst="rect">
                          <a:avLst/>
                        </a:prstGeom>
                      </wps:spPr>
                      <wps:txbx>
                        <w:txbxContent>
                          <w:p w14:paraId="534C69DE" w14:textId="77777777" w:rsidR="006638AC" w:rsidRDefault="006638AC" w:rsidP="005F5195">
                            <w:pPr>
                              <w:pStyle w:val="NormalWeb"/>
                              <w:spacing w:before="0" w:beforeAutospacing="0" w:after="0" w:afterAutospacing="0"/>
                            </w:pPr>
                            <w:r>
                              <w:rPr>
                                <w:rFonts w:asciiTheme="minorHAnsi" w:hAnsi="Arial" w:cstheme="minorBidi"/>
                                <w:sz w:val="22"/>
                                <w:szCs w:val="22"/>
                              </w:rPr>
                              <w:t>%</w:t>
                            </w:r>
                          </w:p>
                        </w:txbxContent>
                      </wps:txbx>
                      <wps:bodyPr wrap="square" rtlCol="1"/>
                    </wps:wsp>
                  </a:graphicData>
                </a:graphic>
              </wp:anchor>
            </w:drawing>
          </mc:Choice>
          <mc:Fallback>
            <w:pict>
              <v:shapetype w14:anchorId="3FBA42C3" id="_x0000_t202" coordsize="21600,21600" o:spt="202" path="m,l,21600r21600,l21600,xe">
                <v:stroke joinstyle="miter"/>
                <v:path gradientshapeok="t" o:connecttype="rect"/>
              </v:shapetype>
              <v:shape id="TextBox 1" o:spid="_x0000_s1026" type="#_x0000_t202" style="position:absolute;margin-left:1.05pt;margin-top:3.95pt;width:16.15pt;height:39.6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" filled="f" stroked="f">
                <v:textbox>
                  <w:txbxContent>
                    <w:p w14:paraId="534C69DE" w14:textId="77777777" w:rsidR="006638AC" w:rsidRDefault="006638AC" w:rsidP="005F5195">
                      <w:pPr>
                        <w:pStyle w:val="NormalWeb"/>
                        <w:spacing w:before="0" w:beforeAutospacing="0" w:after="0" w:afterAutospacing="0"/>
                      </w:pPr>
                      <w:r>
                        <w:rPr>
                          <w:rFonts w:asciiTheme="minorHAnsi" w:hAnsi="Arial" w:cstheme="minorBidi"/>
                          <w:sz w:val="22"/>
                          <w:szCs w:val="22"/>
                        </w:rPr>
                        <w:t>%</w:t>
                      </w:r>
                    </w:p>
                  </w:txbxContent>
                </v:textbox>
                <w10:wrap type="square"/>
              </v:shape>
            </w:pict>
          </mc:Fallback>
        </mc:AlternateContent>
      </w:r>
    </w:p>
    <w:p w14:paraId="75A6C064" w14:textId="77777777" w:rsidR="00AA291A" w:rsidRDefault="00AA291A" w:rsidP="00917809">
      <w:pPr>
        <w:pStyle w:val="EcoSourceNote"/>
      </w:pPr>
    </w:p>
    <w:p w14:paraId="192FA2FE" w14:textId="77777777" w:rsidR="00AA291A" w:rsidRDefault="00AA291A" w:rsidP="00917809">
      <w:pPr>
        <w:pStyle w:val="EcoSourceNote"/>
      </w:pPr>
    </w:p>
    <w:p w14:paraId="538CA730" w14:textId="77777777" w:rsidR="00AA291A" w:rsidRDefault="00AA291A" w:rsidP="00917809">
      <w:pPr>
        <w:pStyle w:val="EcoSourceNote"/>
      </w:pPr>
    </w:p>
    <w:p w14:paraId="55F6D020" w14:textId="77777777" w:rsidR="00AA291A" w:rsidRDefault="00AA291A" w:rsidP="00917809">
      <w:pPr>
        <w:pStyle w:val="EcoSourceNote"/>
      </w:pPr>
    </w:p>
    <w:p w14:paraId="789B46D8" w14:textId="77777777" w:rsidR="00AA291A" w:rsidRDefault="00AA291A" w:rsidP="00917809">
      <w:pPr>
        <w:pStyle w:val="EcoSourceNote"/>
      </w:pPr>
    </w:p>
    <w:p w14:paraId="77F9C9E5" w14:textId="77777777" w:rsidR="00AA291A" w:rsidRDefault="00AA291A" w:rsidP="00917809">
      <w:pPr>
        <w:pStyle w:val="EcoSourceNote"/>
      </w:pPr>
    </w:p>
    <w:p w14:paraId="44C35917" w14:textId="77777777" w:rsidR="00AA291A" w:rsidRDefault="00AA291A" w:rsidP="00917809">
      <w:pPr>
        <w:pStyle w:val="EcoSourceNote"/>
      </w:pPr>
    </w:p>
    <w:p w14:paraId="153DADC9" w14:textId="28E50D07" w:rsidR="00AA291A" w:rsidRDefault="00C368EA" w:rsidP="00C368EA">
      <w:pPr>
        <w:pStyle w:val="EcoSourceNote"/>
        <w:tabs>
          <w:tab w:val="left" w:pos="4215"/>
        </w:tabs>
      </w:pPr>
      <w:r>
        <w:tab/>
      </w:r>
    </w:p>
    <w:p w14:paraId="48F8857C" w14:textId="77777777" w:rsidR="00D3097D" w:rsidRPr="009B2020" w:rsidRDefault="00D3097D" w:rsidP="00917809">
      <w:pPr>
        <w:pStyle w:val="EcoSourceNote"/>
      </w:pPr>
      <w:r w:rsidRPr="00757155">
        <w:t>Source: Statistics Centre - Abu Dhabi</w:t>
      </w:r>
    </w:p>
    <w:p w14:paraId="0125D1DF" w14:textId="77777777" w:rsidR="00D3097D" w:rsidRDefault="00D3097D" w:rsidP="00D3097D">
      <w:pPr>
        <w:autoSpaceDE w:val="0"/>
        <w:autoSpaceDN w:val="0"/>
        <w:adjustRightInd w:val="0"/>
        <w:spacing w:after="0" w:line="360" w:lineRule="auto"/>
        <w:rPr>
          <w:rFonts w:ascii="Arial" w:hAnsi="Arial"/>
          <w:b/>
          <w:bCs/>
          <w:color w:val="7F7F7F"/>
          <w:sz w:val="16"/>
          <w:szCs w:val="16"/>
        </w:rPr>
      </w:pPr>
    </w:p>
    <w:p w14:paraId="7D8F148A" w14:textId="77777777" w:rsidR="001E596D" w:rsidRDefault="001E596D" w:rsidP="00D3097D">
      <w:pPr>
        <w:autoSpaceDE w:val="0"/>
        <w:autoSpaceDN w:val="0"/>
        <w:adjustRightInd w:val="0"/>
        <w:spacing w:after="0" w:line="360" w:lineRule="auto"/>
        <w:rPr>
          <w:rFonts w:ascii="Arial" w:hAnsi="Arial"/>
          <w:b/>
          <w:bCs/>
          <w:color w:val="7F7F7F"/>
          <w:sz w:val="16"/>
          <w:szCs w:val="16"/>
        </w:rPr>
      </w:pPr>
    </w:p>
    <w:p w14:paraId="22F11A1A" w14:textId="1F808013" w:rsidR="00D3097D" w:rsidRPr="00B2550C" w:rsidRDefault="00D3097D" w:rsidP="00386DD3">
      <w:pPr>
        <w:autoSpaceDE w:val="0"/>
        <w:autoSpaceDN w:val="0"/>
        <w:adjustRightInd w:val="0"/>
        <w:spacing w:after="0" w:line="360" w:lineRule="auto"/>
        <w:rPr>
          <w:rFonts w:ascii="Arial" w:eastAsia="Calibri" w:hAnsi="Arial"/>
          <w:b/>
          <w:color w:val="595959"/>
          <w:sz w:val="20"/>
          <w:szCs w:val="20"/>
          <w:lang w:bidi="ar-AE"/>
        </w:rPr>
      </w:pPr>
      <w:r w:rsidRPr="00B2550C">
        <w:rPr>
          <w:rFonts w:ascii="Arial" w:eastAsia="Calibri" w:hAnsi="Arial"/>
          <w:b/>
          <w:color w:val="595959"/>
          <w:sz w:val="20"/>
          <w:szCs w:val="20"/>
          <w:lang w:bidi="ar-AE"/>
        </w:rPr>
        <w:t xml:space="preserve">Non-financial </w:t>
      </w:r>
      <w:r w:rsidR="00386DD3">
        <w:rPr>
          <w:rFonts w:ascii="Arial" w:eastAsia="Calibri" w:hAnsi="Arial"/>
          <w:b/>
          <w:color w:val="595959"/>
          <w:sz w:val="20"/>
          <w:szCs w:val="20"/>
          <w:lang w:bidi="ar-AE"/>
        </w:rPr>
        <w:t>sector</w:t>
      </w:r>
    </w:p>
    <w:p w14:paraId="1F044EC8" w14:textId="1E6DDD17" w:rsidR="003E3458" w:rsidRPr="00B2550C" w:rsidRDefault="0028521F" w:rsidP="00D138B5">
      <w:pPr>
        <w:autoSpaceDE w:val="0"/>
        <w:autoSpaceDN w:val="0"/>
        <w:adjustRightInd w:val="0"/>
        <w:spacing w:after="0" w:line="360" w:lineRule="auto"/>
        <w:jc w:val="both"/>
        <w:rPr>
          <w:rFonts w:ascii="Arial" w:eastAsia="Calibri" w:hAnsi="Arial"/>
          <w:bCs/>
          <w:color w:val="595959"/>
          <w:sz w:val="20"/>
          <w:szCs w:val="20"/>
          <w:lang w:bidi="ar-AE"/>
        </w:rPr>
      </w:pPr>
      <w:r>
        <w:rPr>
          <w:rFonts w:ascii="Arial" w:eastAsia="Calibri" w:hAnsi="Arial"/>
          <w:bCs/>
          <w:color w:val="595959"/>
          <w:sz w:val="20"/>
          <w:szCs w:val="20"/>
          <w:lang w:bidi="ar-AE"/>
        </w:rPr>
        <w:t xml:space="preserve">In recent quarters, the estimates for the non-financial sector have shown an increase compared with the same quarter in the previous year. </w:t>
      </w:r>
      <w:r w:rsidR="00D3097D" w:rsidRPr="00E17D62">
        <w:rPr>
          <w:rFonts w:ascii="Arial" w:eastAsia="Calibri" w:hAnsi="Arial"/>
          <w:bCs/>
          <w:color w:val="595959"/>
          <w:sz w:val="20"/>
          <w:szCs w:val="20"/>
          <w:lang w:bidi="ar-AE"/>
        </w:rPr>
        <w:t xml:space="preserve">The </w:t>
      </w:r>
      <w:r w:rsidR="00D3097D" w:rsidRPr="00B46F50">
        <w:rPr>
          <w:rFonts w:ascii="Arial" w:eastAsia="Calibri" w:hAnsi="Arial"/>
          <w:bCs/>
          <w:color w:val="595959"/>
          <w:sz w:val="20"/>
          <w:szCs w:val="20"/>
          <w:lang w:bidi="ar-AE"/>
        </w:rPr>
        <w:t xml:space="preserve">value added by the ‘Non-financial’ sector </w:t>
      </w:r>
      <w:r w:rsidR="002F559B">
        <w:rPr>
          <w:rFonts w:ascii="Arial" w:eastAsia="Calibri" w:hAnsi="Arial"/>
          <w:bCs/>
          <w:color w:val="595959"/>
          <w:sz w:val="20"/>
          <w:szCs w:val="20"/>
          <w:lang w:bidi="ar-AE"/>
        </w:rPr>
        <w:t xml:space="preserve">rose by </w:t>
      </w:r>
      <w:r w:rsidR="00D138B5">
        <w:rPr>
          <w:rFonts w:ascii="Arial" w:eastAsia="Calibri" w:hAnsi="Arial"/>
          <w:bCs/>
          <w:color w:val="595959"/>
          <w:sz w:val="20"/>
          <w:szCs w:val="20"/>
          <w:lang w:bidi="ar-AE"/>
        </w:rPr>
        <w:t>6.7</w:t>
      </w:r>
      <w:r w:rsidR="00D3097D" w:rsidRPr="00B46F50">
        <w:rPr>
          <w:rFonts w:ascii="Arial" w:eastAsia="Calibri" w:hAnsi="Arial"/>
          <w:bCs/>
          <w:color w:val="595959"/>
          <w:sz w:val="20"/>
          <w:szCs w:val="20"/>
          <w:lang w:bidi="ar-AE"/>
        </w:rPr>
        <w:t xml:space="preserve">% from AED </w:t>
      </w:r>
      <w:r w:rsidR="002F559B">
        <w:rPr>
          <w:rFonts w:ascii="Arial" w:eastAsia="Calibri" w:hAnsi="Arial"/>
          <w:bCs/>
          <w:color w:val="595959"/>
          <w:sz w:val="20"/>
          <w:szCs w:val="20"/>
          <w:lang w:bidi="ar-AE"/>
        </w:rPr>
        <w:t>17</w:t>
      </w:r>
      <w:r w:rsidR="00D138B5">
        <w:rPr>
          <w:rFonts w:ascii="Arial" w:eastAsia="Calibri" w:hAnsi="Arial"/>
          <w:bCs/>
          <w:color w:val="595959"/>
          <w:sz w:val="20"/>
          <w:szCs w:val="20"/>
          <w:lang w:bidi="ar-AE"/>
        </w:rPr>
        <w:t>2,722</w:t>
      </w:r>
      <w:r w:rsidR="00CB547F">
        <w:rPr>
          <w:rFonts w:ascii="Arial" w:eastAsia="Calibri" w:hAnsi="Arial"/>
          <w:bCs/>
          <w:color w:val="595959"/>
          <w:sz w:val="20"/>
          <w:szCs w:val="20"/>
          <w:lang w:bidi="ar-AE"/>
        </w:rPr>
        <w:t xml:space="preserve"> </w:t>
      </w:r>
      <w:r w:rsidR="00D3097D" w:rsidRPr="00B46F50">
        <w:rPr>
          <w:rFonts w:ascii="Arial" w:eastAsia="Calibri" w:hAnsi="Arial"/>
          <w:bCs/>
          <w:color w:val="595959"/>
          <w:sz w:val="20"/>
          <w:szCs w:val="20"/>
          <w:lang w:bidi="ar-AE"/>
        </w:rPr>
        <w:t xml:space="preserve">million in the </w:t>
      </w:r>
      <w:r w:rsidR="00A71A48">
        <w:rPr>
          <w:rFonts w:ascii="Arial" w:eastAsia="Calibri" w:hAnsi="Arial"/>
          <w:bCs/>
          <w:color w:val="595959"/>
          <w:sz w:val="20"/>
          <w:szCs w:val="20"/>
          <w:lang w:bidi="ar-AE"/>
        </w:rPr>
        <w:t>first</w:t>
      </w:r>
      <w:r w:rsidR="00DA23C1">
        <w:rPr>
          <w:rFonts w:ascii="Arial" w:eastAsia="Calibri" w:hAnsi="Arial"/>
          <w:bCs/>
          <w:color w:val="595959"/>
          <w:sz w:val="20"/>
          <w:szCs w:val="20"/>
          <w:lang w:bidi="ar-AE"/>
        </w:rPr>
        <w:t xml:space="preserve"> quarter of </w:t>
      </w:r>
      <w:r w:rsidR="00A71A48">
        <w:rPr>
          <w:rFonts w:ascii="Arial" w:eastAsia="Calibri" w:hAnsi="Arial"/>
          <w:bCs/>
          <w:color w:val="595959"/>
          <w:sz w:val="20"/>
          <w:szCs w:val="20"/>
          <w:lang w:bidi="ar-AE"/>
        </w:rPr>
        <w:t>2018</w:t>
      </w:r>
      <w:r w:rsidR="00D3097D" w:rsidRPr="00B46F50">
        <w:rPr>
          <w:rFonts w:ascii="Arial" w:eastAsia="Calibri" w:hAnsi="Arial"/>
          <w:bCs/>
          <w:color w:val="595959"/>
          <w:sz w:val="20"/>
          <w:szCs w:val="20"/>
          <w:lang w:bidi="ar-AE"/>
        </w:rPr>
        <w:t xml:space="preserve"> to AED </w:t>
      </w:r>
      <w:r w:rsidR="00D138B5">
        <w:rPr>
          <w:rFonts w:ascii="Arial" w:eastAsia="Calibri" w:hAnsi="Arial"/>
          <w:bCs/>
          <w:color w:val="595959"/>
          <w:sz w:val="20"/>
          <w:szCs w:val="20"/>
          <w:lang w:bidi="ar-AE"/>
        </w:rPr>
        <w:t>184,228</w:t>
      </w:r>
      <w:r w:rsidR="00D3097D" w:rsidRPr="00B46F50">
        <w:rPr>
          <w:rFonts w:ascii="Arial" w:eastAsia="Calibri" w:hAnsi="Arial"/>
          <w:bCs/>
          <w:color w:val="595959"/>
          <w:sz w:val="20"/>
          <w:szCs w:val="20"/>
          <w:lang w:bidi="ar-AE"/>
        </w:rPr>
        <w:t xml:space="preserve"> million in the </w:t>
      </w:r>
      <w:r w:rsidR="00A71A48">
        <w:rPr>
          <w:rFonts w:ascii="Arial" w:eastAsia="Calibri" w:hAnsi="Arial"/>
          <w:bCs/>
          <w:color w:val="595959"/>
          <w:sz w:val="20"/>
          <w:szCs w:val="20"/>
          <w:lang w:bidi="ar-AE"/>
        </w:rPr>
        <w:t>first</w:t>
      </w:r>
      <w:r w:rsidR="002F559B">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00D3097D" w:rsidRPr="00B46F50">
        <w:rPr>
          <w:rFonts w:ascii="Arial" w:eastAsia="Calibri" w:hAnsi="Arial"/>
          <w:bCs/>
          <w:color w:val="595959"/>
          <w:sz w:val="20"/>
          <w:szCs w:val="20"/>
          <w:lang w:bidi="ar-AE"/>
        </w:rPr>
        <w:t xml:space="preserve">. </w:t>
      </w:r>
      <w:r w:rsidR="003E3458" w:rsidRPr="00B46F50">
        <w:rPr>
          <w:rFonts w:ascii="Arial" w:eastAsia="Calibri" w:hAnsi="Arial"/>
          <w:bCs/>
          <w:color w:val="595959"/>
          <w:sz w:val="20"/>
          <w:szCs w:val="20"/>
          <w:lang w:bidi="ar-AE"/>
        </w:rPr>
        <w:t xml:space="preserve">Its contribution to total GDP </w:t>
      </w:r>
      <w:r w:rsidR="00D60FEA">
        <w:rPr>
          <w:rFonts w:ascii="Arial" w:eastAsia="Calibri" w:hAnsi="Arial"/>
          <w:bCs/>
          <w:color w:val="595959"/>
          <w:sz w:val="20"/>
          <w:szCs w:val="20"/>
          <w:lang w:bidi="ar-AE"/>
        </w:rPr>
        <w:t>in</w:t>
      </w:r>
      <w:r w:rsidR="001C7B24">
        <w:rPr>
          <w:rFonts w:ascii="Arial" w:eastAsia="Calibri" w:hAnsi="Arial"/>
          <w:bCs/>
          <w:color w:val="595959"/>
          <w:sz w:val="20"/>
          <w:szCs w:val="20"/>
          <w:lang w:bidi="ar-AE"/>
        </w:rPr>
        <w:t>creased from</w:t>
      </w:r>
      <w:r w:rsidR="003E3458">
        <w:rPr>
          <w:rFonts w:ascii="Arial" w:eastAsia="Calibri" w:hAnsi="Arial"/>
          <w:bCs/>
          <w:color w:val="595959"/>
          <w:sz w:val="20"/>
          <w:szCs w:val="20"/>
          <w:lang w:bidi="ar-AE"/>
        </w:rPr>
        <w:t xml:space="preserve"> </w:t>
      </w:r>
      <w:r w:rsidR="00D138B5" w:rsidRPr="00D138B5">
        <w:rPr>
          <w:rFonts w:ascii="Arial" w:eastAsia="Calibri" w:hAnsi="Arial"/>
          <w:bCs/>
          <w:color w:val="595959"/>
          <w:sz w:val="20"/>
          <w:szCs w:val="20"/>
          <w:lang w:bidi="ar-AE"/>
        </w:rPr>
        <w:t>88.1</w:t>
      </w:r>
      <w:r w:rsidR="003E3458" w:rsidRPr="00D138B5">
        <w:rPr>
          <w:rFonts w:ascii="Arial" w:eastAsia="Calibri" w:hAnsi="Arial"/>
          <w:bCs/>
          <w:color w:val="595959"/>
          <w:sz w:val="20"/>
          <w:szCs w:val="20"/>
          <w:lang w:bidi="ar-AE"/>
        </w:rPr>
        <w:t xml:space="preserve">% </w:t>
      </w:r>
      <w:r w:rsidR="001C7B24">
        <w:rPr>
          <w:rFonts w:ascii="Arial" w:eastAsia="Calibri" w:hAnsi="Arial"/>
          <w:bCs/>
          <w:color w:val="595959"/>
          <w:sz w:val="20"/>
          <w:szCs w:val="20"/>
          <w:lang w:bidi="ar-AE"/>
        </w:rPr>
        <w:t>to 8</w:t>
      </w:r>
      <w:r w:rsidR="00D60FEA">
        <w:rPr>
          <w:rFonts w:ascii="Arial" w:eastAsia="Calibri" w:hAnsi="Arial"/>
          <w:bCs/>
          <w:color w:val="595959"/>
          <w:sz w:val="20"/>
          <w:szCs w:val="20"/>
          <w:lang w:bidi="ar-AE"/>
        </w:rPr>
        <w:t>8</w:t>
      </w:r>
      <w:r w:rsidR="001C7B24">
        <w:rPr>
          <w:rFonts w:ascii="Arial" w:eastAsia="Calibri" w:hAnsi="Arial"/>
          <w:bCs/>
          <w:color w:val="595959"/>
          <w:sz w:val="20"/>
          <w:szCs w:val="20"/>
          <w:lang w:bidi="ar-AE"/>
        </w:rPr>
        <w:t>.</w:t>
      </w:r>
      <w:r w:rsidR="00D138B5">
        <w:rPr>
          <w:rFonts w:ascii="Arial" w:eastAsia="Calibri" w:hAnsi="Arial"/>
          <w:bCs/>
          <w:color w:val="595959"/>
          <w:sz w:val="20"/>
          <w:szCs w:val="20"/>
          <w:lang w:bidi="ar-AE"/>
        </w:rPr>
        <w:t>9</w:t>
      </w:r>
      <w:r w:rsidR="001C7B24">
        <w:rPr>
          <w:rFonts w:ascii="Arial" w:eastAsia="Calibri" w:hAnsi="Arial"/>
          <w:bCs/>
          <w:color w:val="595959"/>
          <w:sz w:val="20"/>
          <w:szCs w:val="20"/>
          <w:lang w:bidi="ar-AE"/>
        </w:rPr>
        <w:t xml:space="preserve">% </w:t>
      </w:r>
      <w:r w:rsidR="003E3458">
        <w:rPr>
          <w:rFonts w:ascii="Arial" w:eastAsia="Calibri" w:hAnsi="Arial"/>
          <w:bCs/>
          <w:color w:val="595959"/>
          <w:sz w:val="20"/>
          <w:szCs w:val="20"/>
          <w:lang w:bidi="ar-AE"/>
        </w:rPr>
        <w:t xml:space="preserve">over the same period. </w:t>
      </w:r>
    </w:p>
    <w:p w14:paraId="4461A0BC" w14:textId="77777777" w:rsidR="008B41C6" w:rsidRDefault="008B41C6" w:rsidP="00C21FE2">
      <w:pPr>
        <w:autoSpaceDE w:val="0"/>
        <w:autoSpaceDN w:val="0"/>
        <w:adjustRightInd w:val="0"/>
        <w:spacing w:after="0" w:line="360" w:lineRule="auto"/>
        <w:jc w:val="both"/>
        <w:rPr>
          <w:rFonts w:ascii="Arial" w:eastAsia="Calibri" w:hAnsi="Arial"/>
          <w:b/>
          <w:bCs/>
          <w:color w:val="D6A461" w:themeColor="text2"/>
        </w:rPr>
      </w:pPr>
    </w:p>
    <w:p w14:paraId="5EF85A80" w14:textId="77777777" w:rsidR="008B41C6" w:rsidRDefault="008B41C6" w:rsidP="00C21FE2">
      <w:pPr>
        <w:autoSpaceDE w:val="0"/>
        <w:autoSpaceDN w:val="0"/>
        <w:adjustRightInd w:val="0"/>
        <w:spacing w:after="0" w:line="360" w:lineRule="auto"/>
        <w:jc w:val="both"/>
        <w:rPr>
          <w:rFonts w:ascii="Arial" w:eastAsia="Calibri" w:hAnsi="Arial"/>
          <w:b/>
          <w:bCs/>
          <w:color w:val="D6A461" w:themeColor="text2"/>
        </w:rPr>
      </w:pPr>
    </w:p>
    <w:p w14:paraId="7F7F82CD" w14:textId="77777777" w:rsidR="00D34E2C" w:rsidRDefault="00D34E2C" w:rsidP="00C21FE2">
      <w:pPr>
        <w:autoSpaceDE w:val="0"/>
        <w:autoSpaceDN w:val="0"/>
        <w:adjustRightInd w:val="0"/>
        <w:spacing w:after="0" w:line="360" w:lineRule="auto"/>
        <w:jc w:val="both"/>
        <w:rPr>
          <w:rFonts w:ascii="Arial" w:eastAsia="Calibri" w:hAnsi="Arial"/>
          <w:b/>
          <w:bCs/>
          <w:color w:val="D6A461" w:themeColor="text2"/>
        </w:rPr>
      </w:pPr>
    </w:p>
    <w:p w14:paraId="30989814" w14:textId="77777777" w:rsidR="00EE2A36" w:rsidRDefault="00EE2A36" w:rsidP="00C21FE2">
      <w:pPr>
        <w:autoSpaceDE w:val="0"/>
        <w:autoSpaceDN w:val="0"/>
        <w:adjustRightInd w:val="0"/>
        <w:spacing w:after="0" w:line="360" w:lineRule="auto"/>
        <w:jc w:val="both"/>
        <w:rPr>
          <w:rFonts w:ascii="Arial" w:eastAsia="Calibri" w:hAnsi="Arial"/>
          <w:b/>
          <w:bCs/>
          <w:color w:val="D6A461" w:themeColor="text2"/>
        </w:rPr>
      </w:pPr>
    </w:p>
    <w:p w14:paraId="43B1CD87" w14:textId="77777777" w:rsidR="00015807" w:rsidRDefault="00015807" w:rsidP="00C21FE2">
      <w:pPr>
        <w:autoSpaceDE w:val="0"/>
        <w:autoSpaceDN w:val="0"/>
        <w:adjustRightInd w:val="0"/>
        <w:spacing w:after="0" w:line="360" w:lineRule="auto"/>
        <w:jc w:val="both"/>
        <w:rPr>
          <w:rFonts w:ascii="Arial" w:eastAsia="Calibri" w:hAnsi="Arial"/>
          <w:b/>
          <w:bCs/>
          <w:color w:val="D6A461" w:themeColor="text2"/>
        </w:rPr>
      </w:pPr>
    </w:p>
    <w:p w14:paraId="172679CE" w14:textId="77777777" w:rsidR="00015807" w:rsidRDefault="00015807" w:rsidP="00C21FE2">
      <w:pPr>
        <w:autoSpaceDE w:val="0"/>
        <w:autoSpaceDN w:val="0"/>
        <w:adjustRightInd w:val="0"/>
        <w:spacing w:after="0" w:line="360" w:lineRule="auto"/>
        <w:jc w:val="both"/>
        <w:rPr>
          <w:rFonts w:ascii="Arial" w:eastAsia="Calibri" w:hAnsi="Arial"/>
          <w:b/>
          <w:bCs/>
          <w:color w:val="D6A461" w:themeColor="text2"/>
        </w:rPr>
      </w:pPr>
    </w:p>
    <w:p w14:paraId="690F05DD" w14:textId="77777777" w:rsidR="00EE2A36" w:rsidRDefault="00EE2A36" w:rsidP="00C21FE2">
      <w:pPr>
        <w:autoSpaceDE w:val="0"/>
        <w:autoSpaceDN w:val="0"/>
        <w:adjustRightInd w:val="0"/>
        <w:spacing w:after="0" w:line="360" w:lineRule="auto"/>
        <w:jc w:val="both"/>
        <w:rPr>
          <w:rFonts w:ascii="Arial" w:eastAsia="Calibri" w:hAnsi="Arial"/>
          <w:b/>
          <w:bCs/>
          <w:color w:val="D6A461" w:themeColor="text2"/>
        </w:rPr>
      </w:pPr>
    </w:p>
    <w:p w14:paraId="349A85F5" w14:textId="589A213A" w:rsidR="00D3097D" w:rsidRDefault="00D3097D" w:rsidP="00D34E2C">
      <w:pPr>
        <w:autoSpaceDE w:val="0"/>
        <w:autoSpaceDN w:val="0"/>
        <w:adjustRightInd w:val="0"/>
        <w:spacing w:after="0" w:line="360" w:lineRule="auto"/>
        <w:jc w:val="both"/>
        <w:rPr>
          <w:rFonts w:ascii="Arial" w:eastAsia="Calibri" w:hAnsi="Arial"/>
          <w:b/>
          <w:bCs/>
          <w:color w:val="595959"/>
        </w:rPr>
      </w:pPr>
      <w:r w:rsidRPr="00263BBB">
        <w:rPr>
          <w:rFonts w:ascii="Arial" w:eastAsia="Calibri" w:hAnsi="Arial"/>
          <w:b/>
          <w:bCs/>
          <w:color w:val="D6A461" w:themeColor="text2"/>
        </w:rPr>
        <w:lastRenderedPageBreak/>
        <w:t xml:space="preserve">Figure 11: </w:t>
      </w:r>
      <w:r w:rsidRPr="00576ACA">
        <w:rPr>
          <w:rFonts w:ascii="Arial" w:eastAsia="Calibri" w:hAnsi="Arial"/>
          <w:b/>
          <w:bCs/>
          <w:color w:val="595959"/>
        </w:rPr>
        <w:t xml:space="preserve">Percentage change in </w:t>
      </w:r>
      <w:r w:rsidR="00D34E2C" w:rsidRPr="00576ACA">
        <w:rPr>
          <w:rFonts w:ascii="Arial" w:eastAsia="Calibri" w:hAnsi="Arial"/>
          <w:b/>
          <w:bCs/>
          <w:color w:val="595959"/>
        </w:rPr>
        <w:t>the ‘N</w:t>
      </w:r>
      <w:r w:rsidRPr="00576ACA">
        <w:rPr>
          <w:rFonts w:ascii="Arial" w:eastAsia="Calibri" w:hAnsi="Arial"/>
          <w:b/>
          <w:bCs/>
          <w:color w:val="595959"/>
        </w:rPr>
        <w:t>on-financial</w:t>
      </w:r>
      <w:r w:rsidR="00D34E2C" w:rsidRPr="00576ACA">
        <w:rPr>
          <w:rFonts w:ascii="Arial" w:eastAsia="Calibri" w:hAnsi="Arial"/>
          <w:b/>
          <w:bCs/>
          <w:color w:val="595959"/>
        </w:rPr>
        <w:t>’ sector</w:t>
      </w:r>
      <w:r w:rsidRPr="00576ACA">
        <w:rPr>
          <w:rFonts w:ascii="Arial" w:eastAsia="Calibri" w:hAnsi="Arial"/>
          <w:b/>
          <w:bCs/>
          <w:color w:val="595959"/>
        </w:rPr>
        <w:t xml:space="preserve"> at constant 2007 prices, from the same quarter of the previous year</w:t>
      </w:r>
    </w:p>
    <w:p w14:paraId="74066DA8" w14:textId="3A85E3DC" w:rsidR="00D3097D" w:rsidRPr="00B876D7" w:rsidRDefault="007217B6" w:rsidP="00B876D7">
      <w:pPr>
        <w:autoSpaceDE w:val="0"/>
        <w:autoSpaceDN w:val="0"/>
        <w:adjustRightInd w:val="0"/>
        <w:spacing w:after="0" w:line="360" w:lineRule="auto"/>
        <w:rPr>
          <w:rFonts w:ascii="Arial" w:eastAsia="Calibri" w:hAnsi="Arial"/>
          <w:bCs/>
          <w:color w:val="595959"/>
          <w:lang w:bidi="ar-AE"/>
        </w:rPr>
      </w:pPr>
      <w:r>
        <w:rPr>
          <w:noProof/>
        </w:rPr>
        <w:drawing>
          <wp:inline distT="0" distB="0" distL="0" distR="0" wp14:anchorId="3D833548" wp14:editId="23009016">
            <wp:extent cx="5866790" cy="2260397"/>
            <wp:effectExtent l="0" t="0" r="635" b="698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A9AFE8" w14:textId="77777777" w:rsidR="001C2A88" w:rsidRPr="00BE6AF3" w:rsidRDefault="00D3097D" w:rsidP="00917809">
      <w:pPr>
        <w:pStyle w:val="EcoSourceNote"/>
      </w:pPr>
      <w:r w:rsidRPr="00757155">
        <w:t>Source: Statistics Centre - Abu Dhabi</w:t>
      </w:r>
    </w:p>
    <w:p w14:paraId="3B22027D" w14:textId="77777777" w:rsidR="008B41C6" w:rsidRDefault="008B41C6" w:rsidP="00D3097D">
      <w:pPr>
        <w:autoSpaceDE w:val="0"/>
        <w:autoSpaceDN w:val="0"/>
        <w:adjustRightInd w:val="0"/>
        <w:spacing w:after="0" w:line="360" w:lineRule="auto"/>
        <w:rPr>
          <w:rFonts w:ascii="Arial" w:eastAsia="Calibri" w:hAnsi="Arial"/>
          <w:b/>
          <w:color w:val="595959"/>
          <w:sz w:val="20"/>
          <w:szCs w:val="20"/>
          <w:lang w:bidi="ar-AE"/>
        </w:rPr>
      </w:pPr>
    </w:p>
    <w:p w14:paraId="044B1A71" w14:textId="0CC5D04F" w:rsidR="00D3097D" w:rsidRPr="00B2550C" w:rsidRDefault="00D3097D" w:rsidP="00386DD3">
      <w:pPr>
        <w:autoSpaceDE w:val="0"/>
        <w:autoSpaceDN w:val="0"/>
        <w:adjustRightInd w:val="0"/>
        <w:spacing w:after="0" w:line="360" w:lineRule="auto"/>
        <w:rPr>
          <w:rFonts w:ascii="Arial" w:eastAsia="Calibri" w:hAnsi="Arial"/>
          <w:b/>
          <w:color w:val="595959"/>
          <w:sz w:val="20"/>
          <w:szCs w:val="20"/>
          <w:lang w:bidi="ar-AE"/>
        </w:rPr>
      </w:pPr>
      <w:r w:rsidRPr="00B2550C">
        <w:rPr>
          <w:rFonts w:ascii="Arial" w:eastAsia="Calibri" w:hAnsi="Arial"/>
          <w:b/>
          <w:color w:val="595959"/>
          <w:sz w:val="20"/>
          <w:szCs w:val="20"/>
          <w:lang w:bidi="ar-AE"/>
        </w:rPr>
        <w:t xml:space="preserve">Financial </w:t>
      </w:r>
      <w:r w:rsidR="00386DD3">
        <w:rPr>
          <w:rFonts w:ascii="Arial" w:eastAsia="Calibri" w:hAnsi="Arial"/>
          <w:b/>
          <w:color w:val="595959"/>
          <w:sz w:val="20"/>
          <w:szCs w:val="20"/>
          <w:lang w:bidi="ar-AE"/>
        </w:rPr>
        <w:t>companies sector</w:t>
      </w:r>
    </w:p>
    <w:p w14:paraId="5042083D" w14:textId="1F99A0F4" w:rsidR="00D3097D" w:rsidRDefault="00D3097D" w:rsidP="00D138B5">
      <w:pPr>
        <w:autoSpaceDE w:val="0"/>
        <w:autoSpaceDN w:val="0"/>
        <w:adjustRightInd w:val="0"/>
        <w:spacing w:after="0" w:line="360" w:lineRule="auto"/>
        <w:jc w:val="both"/>
        <w:rPr>
          <w:rFonts w:ascii="Arial" w:eastAsia="Calibri" w:hAnsi="Arial"/>
          <w:bCs/>
          <w:color w:val="595959"/>
          <w:sz w:val="20"/>
          <w:szCs w:val="20"/>
          <w:lang w:bidi="ar-AE"/>
        </w:rPr>
      </w:pPr>
      <w:r w:rsidRPr="00C33C7D">
        <w:rPr>
          <w:rFonts w:ascii="Arial" w:eastAsia="Calibri" w:hAnsi="Arial"/>
          <w:bCs/>
          <w:color w:val="595959"/>
          <w:sz w:val="20"/>
          <w:szCs w:val="20"/>
          <w:lang w:bidi="ar-AE"/>
        </w:rPr>
        <w:t xml:space="preserve">The </w:t>
      </w:r>
      <w:r w:rsidRPr="00B46F50">
        <w:rPr>
          <w:rFonts w:ascii="Arial" w:eastAsia="Calibri" w:hAnsi="Arial"/>
          <w:bCs/>
          <w:color w:val="595959"/>
          <w:sz w:val="20"/>
          <w:szCs w:val="20"/>
          <w:lang w:bidi="ar-AE"/>
        </w:rPr>
        <w:t xml:space="preserve">value added by the ‘Financial </w:t>
      </w:r>
      <w:r w:rsidR="00D34E2C">
        <w:rPr>
          <w:rFonts w:ascii="Arial" w:eastAsia="Calibri" w:hAnsi="Arial"/>
          <w:bCs/>
          <w:color w:val="595959"/>
          <w:sz w:val="20"/>
          <w:szCs w:val="20"/>
          <w:lang w:bidi="ar-AE"/>
        </w:rPr>
        <w:t>companies</w:t>
      </w:r>
      <w:r w:rsidRPr="008A5A49">
        <w:rPr>
          <w:rFonts w:ascii="Arial" w:eastAsia="Calibri" w:hAnsi="Arial"/>
          <w:bCs/>
          <w:color w:val="595959"/>
          <w:sz w:val="20"/>
          <w:szCs w:val="20"/>
          <w:lang w:bidi="ar-AE"/>
        </w:rPr>
        <w:t>’</w:t>
      </w:r>
      <w:r w:rsidRPr="00B46F50">
        <w:rPr>
          <w:rFonts w:ascii="Arial" w:eastAsia="Calibri" w:hAnsi="Arial"/>
          <w:bCs/>
          <w:color w:val="595959"/>
          <w:sz w:val="20"/>
          <w:szCs w:val="20"/>
          <w:lang w:bidi="ar-AE"/>
        </w:rPr>
        <w:t xml:space="preserve"> sector </w:t>
      </w:r>
      <w:r w:rsidR="00D138B5">
        <w:rPr>
          <w:rFonts w:ascii="Arial" w:eastAsia="Calibri" w:hAnsi="Arial"/>
          <w:bCs/>
          <w:color w:val="595959"/>
          <w:sz w:val="20"/>
          <w:szCs w:val="20"/>
          <w:lang w:bidi="ar-AE"/>
        </w:rPr>
        <w:t>decreased by 2.4</w:t>
      </w:r>
      <w:r w:rsidRPr="00B46F50">
        <w:rPr>
          <w:rFonts w:ascii="Arial" w:eastAsia="Calibri" w:hAnsi="Arial"/>
          <w:bCs/>
          <w:color w:val="595959"/>
          <w:sz w:val="20"/>
          <w:szCs w:val="20"/>
          <w:lang w:bidi="ar-AE"/>
        </w:rPr>
        <w:t xml:space="preserve">% from AED </w:t>
      </w:r>
      <w:r w:rsidR="001D637A">
        <w:rPr>
          <w:rFonts w:ascii="Arial" w:eastAsia="Calibri" w:hAnsi="Arial"/>
          <w:bCs/>
          <w:color w:val="595959"/>
          <w:sz w:val="20"/>
          <w:szCs w:val="20"/>
          <w:lang w:bidi="ar-AE"/>
        </w:rPr>
        <w:t>14,</w:t>
      </w:r>
      <w:r w:rsidR="00D138B5">
        <w:rPr>
          <w:rFonts w:ascii="Arial" w:eastAsia="Calibri" w:hAnsi="Arial"/>
          <w:bCs/>
          <w:color w:val="595959"/>
          <w:sz w:val="20"/>
          <w:szCs w:val="20"/>
          <w:lang w:bidi="ar-AE"/>
        </w:rPr>
        <w:t>470</w:t>
      </w:r>
      <w:r w:rsidRPr="00B46F50">
        <w:rPr>
          <w:rFonts w:ascii="Arial" w:eastAsia="Calibri" w:hAnsi="Arial"/>
          <w:bCs/>
          <w:color w:val="595959"/>
          <w:sz w:val="20"/>
          <w:szCs w:val="20"/>
          <w:lang w:bidi="ar-AE"/>
        </w:rPr>
        <w:t xml:space="preserve"> million in the </w:t>
      </w:r>
      <w:r w:rsidR="00A71A48">
        <w:rPr>
          <w:rFonts w:ascii="Arial" w:eastAsia="Calibri" w:hAnsi="Arial"/>
          <w:bCs/>
          <w:color w:val="595959"/>
          <w:sz w:val="20"/>
          <w:szCs w:val="20"/>
          <w:lang w:bidi="ar-AE"/>
        </w:rPr>
        <w:t>first</w:t>
      </w:r>
      <w:r w:rsidR="001D637A">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Pr="00B46F50">
        <w:rPr>
          <w:rFonts w:ascii="Arial" w:eastAsia="Calibri" w:hAnsi="Arial"/>
          <w:bCs/>
          <w:color w:val="595959"/>
          <w:sz w:val="20"/>
          <w:szCs w:val="20"/>
          <w:lang w:bidi="ar-AE"/>
        </w:rPr>
        <w:t xml:space="preserve"> to AED </w:t>
      </w:r>
      <w:r w:rsidR="00FC4180">
        <w:rPr>
          <w:rFonts w:ascii="Arial" w:eastAsia="Calibri" w:hAnsi="Arial"/>
          <w:bCs/>
          <w:color w:val="595959"/>
          <w:sz w:val="20"/>
          <w:szCs w:val="20"/>
          <w:lang w:bidi="ar-AE"/>
        </w:rPr>
        <w:t>1</w:t>
      </w:r>
      <w:r w:rsidR="00834CDE">
        <w:rPr>
          <w:rFonts w:ascii="Arial" w:eastAsia="Calibri" w:hAnsi="Arial"/>
          <w:bCs/>
          <w:color w:val="595959"/>
          <w:sz w:val="20"/>
          <w:szCs w:val="20"/>
          <w:lang w:bidi="ar-AE"/>
        </w:rPr>
        <w:t>4,</w:t>
      </w:r>
      <w:r w:rsidR="00D138B5">
        <w:rPr>
          <w:rFonts w:ascii="Arial" w:eastAsia="Calibri" w:hAnsi="Arial"/>
          <w:bCs/>
          <w:color w:val="595959"/>
          <w:sz w:val="20"/>
          <w:szCs w:val="20"/>
          <w:lang w:bidi="ar-AE"/>
        </w:rPr>
        <w:t>125</w:t>
      </w:r>
      <w:r w:rsidR="001D637A">
        <w:rPr>
          <w:rFonts w:ascii="Arial" w:eastAsia="Calibri" w:hAnsi="Arial"/>
          <w:bCs/>
          <w:color w:val="595959"/>
          <w:sz w:val="20"/>
          <w:szCs w:val="20"/>
          <w:lang w:bidi="ar-AE"/>
        </w:rPr>
        <w:t xml:space="preserve"> </w:t>
      </w:r>
      <w:r w:rsidRPr="00B46F50">
        <w:rPr>
          <w:rFonts w:ascii="Arial" w:eastAsia="Calibri" w:hAnsi="Arial"/>
          <w:bCs/>
          <w:color w:val="595959"/>
          <w:sz w:val="20"/>
          <w:szCs w:val="20"/>
          <w:lang w:bidi="ar-AE"/>
        </w:rPr>
        <w:t xml:space="preserve">million in the </w:t>
      </w:r>
      <w:r w:rsidR="00A71A48">
        <w:rPr>
          <w:rFonts w:ascii="Arial" w:eastAsia="Calibri" w:hAnsi="Arial"/>
          <w:bCs/>
          <w:color w:val="595959"/>
          <w:sz w:val="20"/>
          <w:szCs w:val="20"/>
          <w:lang w:bidi="ar-AE"/>
        </w:rPr>
        <w:t>first</w:t>
      </w:r>
      <w:r w:rsidR="001D637A">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Pr="00B46F50">
        <w:rPr>
          <w:rFonts w:ascii="Arial" w:eastAsia="Calibri" w:hAnsi="Arial"/>
          <w:bCs/>
          <w:color w:val="595959"/>
          <w:sz w:val="20"/>
          <w:szCs w:val="20"/>
          <w:lang w:bidi="ar-AE"/>
        </w:rPr>
        <w:t xml:space="preserve">. Its contribution to total GDP was </w:t>
      </w:r>
      <w:r w:rsidR="00D138B5">
        <w:rPr>
          <w:rFonts w:ascii="Arial" w:eastAsia="Calibri" w:hAnsi="Arial"/>
          <w:bCs/>
          <w:color w:val="595959"/>
          <w:sz w:val="20"/>
          <w:szCs w:val="20"/>
          <w:lang w:bidi="ar-AE"/>
        </w:rPr>
        <w:t>6.8</w:t>
      </w:r>
      <w:r w:rsidRPr="00B46F50">
        <w:rPr>
          <w:rFonts w:ascii="Arial" w:eastAsia="Calibri" w:hAnsi="Arial"/>
          <w:bCs/>
          <w:color w:val="595959"/>
          <w:sz w:val="20"/>
          <w:szCs w:val="20"/>
          <w:lang w:bidi="ar-AE"/>
        </w:rPr>
        <w:t xml:space="preserve">% in the </w:t>
      </w:r>
      <w:r w:rsidR="00A71A48">
        <w:rPr>
          <w:rFonts w:ascii="Arial" w:eastAsia="Calibri" w:hAnsi="Arial"/>
          <w:bCs/>
          <w:color w:val="595959"/>
          <w:sz w:val="20"/>
          <w:szCs w:val="20"/>
          <w:lang w:bidi="ar-AE"/>
        </w:rPr>
        <w:t>first</w:t>
      </w:r>
      <w:r w:rsidR="001D637A">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Pr="00B46F50">
        <w:rPr>
          <w:rFonts w:ascii="Arial" w:eastAsia="Calibri" w:hAnsi="Arial"/>
          <w:bCs/>
          <w:color w:val="595959"/>
          <w:sz w:val="20"/>
          <w:szCs w:val="20"/>
          <w:lang w:bidi="ar-AE"/>
        </w:rPr>
        <w:t xml:space="preserve"> </w:t>
      </w:r>
      <w:r w:rsidR="001D637A">
        <w:rPr>
          <w:rFonts w:ascii="Arial" w:eastAsia="Calibri" w:hAnsi="Arial"/>
          <w:bCs/>
          <w:color w:val="595959"/>
          <w:sz w:val="20"/>
          <w:szCs w:val="20"/>
          <w:lang w:bidi="ar-AE"/>
        </w:rPr>
        <w:t xml:space="preserve">compared </w:t>
      </w:r>
      <w:r w:rsidR="001D637A" w:rsidRPr="00D138B5">
        <w:rPr>
          <w:rFonts w:ascii="Arial" w:eastAsia="Calibri" w:hAnsi="Arial"/>
          <w:bCs/>
          <w:color w:val="595959"/>
          <w:sz w:val="20"/>
          <w:szCs w:val="20"/>
          <w:lang w:bidi="ar-AE"/>
        </w:rPr>
        <w:t>with</w:t>
      </w:r>
      <w:r w:rsidR="005C28FB" w:rsidRPr="00D138B5">
        <w:rPr>
          <w:rFonts w:ascii="Arial" w:eastAsia="Calibri" w:hAnsi="Arial"/>
          <w:bCs/>
          <w:color w:val="595959"/>
          <w:sz w:val="20"/>
          <w:szCs w:val="20"/>
          <w:lang w:bidi="ar-AE"/>
        </w:rPr>
        <w:t xml:space="preserve"> </w:t>
      </w:r>
      <w:r w:rsidR="00C76332" w:rsidRPr="00D138B5">
        <w:rPr>
          <w:rFonts w:ascii="Arial" w:eastAsia="Calibri" w:hAnsi="Arial"/>
          <w:bCs/>
          <w:color w:val="595959"/>
          <w:sz w:val="20"/>
          <w:szCs w:val="20"/>
          <w:lang w:bidi="ar-AE"/>
        </w:rPr>
        <w:t>7</w:t>
      </w:r>
      <w:r w:rsidR="001D637A" w:rsidRPr="00D138B5">
        <w:rPr>
          <w:rFonts w:ascii="Arial" w:eastAsia="Calibri" w:hAnsi="Arial"/>
          <w:bCs/>
          <w:color w:val="595959"/>
          <w:sz w:val="20"/>
          <w:szCs w:val="20"/>
          <w:lang w:bidi="ar-AE"/>
        </w:rPr>
        <w:t>.</w:t>
      </w:r>
      <w:r w:rsidR="00D138B5" w:rsidRPr="00D138B5">
        <w:rPr>
          <w:rFonts w:ascii="Arial" w:eastAsia="Calibri" w:hAnsi="Arial"/>
          <w:bCs/>
          <w:color w:val="595959"/>
          <w:sz w:val="20"/>
          <w:szCs w:val="20"/>
          <w:lang w:bidi="ar-AE"/>
        </w:rPr>
        <w:t>4</w:t>
      </w:r>
      <w:r w:rsidR="00C76332" w:rsidRPr="00D138B5">
        <w:rPr>
          <w:rFonts w:ascii="Arial" w:eastAsia="Calibri" w:hAnsi="Arial"/>
          <w:bCs/>
          <w:color w:val="595959"/>
          <w:sz w:val="20"/>
          <w:szCs w:val="20"/>
          <w:lang w:bidi="ar-AE"/>
        </w:rPr>
        <w:t>%</w:t>
      </w:r>
      <w:r w:rsidR="00C76332">
        <w:rPr>
          <w:rFonts w:ascii="Arial" w:eastAsia="Calibri" w:hAnsi="Arial"/>
          <w:bCs/>
          <w:color w:val="595959"/>
          <w:sz w:val="20"/>
          <w:szCs w:val="20"/>
          <w:lang w:bidi="ar-AE"/>
        </w:rPr>
        <w:t xml:space="preserve"> in </w:t>
      </w:r>
      <w:r w:rsidR="005C28FB">
        <w:rPr>
          <w:rFonts w:ascii="Arial" w:eastAsia="Calibri" w:hAnsi="Arial"/>
          <w:bCs/>
          <w:color w:val="595959"/>
          <w:sz w:val="20"/>
          <w:szCs w:val="20"/>
          <w:lang w:bidi="ar-AE"/>
        </w:rPr>
        <w:t>t</w:t>
      </w:r>
      <w:r w:rsidRPr="00B46F50">
        <w:rPr>
          <w:rFonts w:ascii="Arial" w:eastAsia="Calibri" w:hAnsi="Arial"/>
          <w:bCs/>
          <w:color w:val="595959"/>
          <w:sz w:val="20"/>
          <w:szCs w:val="20"/>
          <w:lang w:bidi="ar-AE"/>
        </w:rPr>
        <w:t xml:space="preserve">he </w:t>
      </w:r>
      <w:r w:rsidR="00A71A48">
        <w:rPr>
          <w:rFonts w:ascii="Arial" w:eastAsia="Calibri" w:hAnsi="Arial"/>
          <w:bCs/>
          <w:color w:val="595959"/>
          <w:sz w:val="20"/>
          <w:szCs w:val="20"/>
          <w:lang w:bidi="ar-AE"/>
        </w:rPr>
        <w:t>first</w:t>
      </w:r>
      <w:r w:rsidR="001D637A">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Pr="00B46F50">
        <w:rPr>
          <w:rFonts w:ascii="Arial" w:eastAsia="Calibri" w:hAnsi="Arial"/>
          <w:bCs/>
          <w:color w:val="595959"/>
          <w:sz w:val="20"/>
          <w:szCs w:val="20"/>
          <w:lang w:bidi="ar-AE"/>
        </w:rPr>
        <w:t>.</w:t>
      </w:r>
    </w:p>
    <w:p w14:paraId="1042E5ED" w14:textId="77777777" w:rsidR="00D3097D" w:rsidRDefault="00D3097D" w:rsidP="00D3097D">
      <w:pPr>
        <w:autoSpaceDE w:val="0"/>
        <w:autoSpaceDN w:val="0"/>
        <w:adjustRightInd w:val="0"/>
        <w:spacing w:after="0" w:line="360" w:lineRule="auto"/>
        <w:jc w:val="both"/>
        <w:rPr>
          <w:rFonts w:ascii="Arial" w:eastAsia="Calibri" w:hAnsi="Arial"/>
          <w:b/>
          <w:bCs/>
          <w:color w:val="AA9F8A"/>
        </w:rPr>
      </w:pPr>
    </w:p>
    <w:p w14:paraId="717B7FCC" w14:textId="75A55DA3" w:rsidR="00D3097D" w:rsidRDefault="00D3097D" w:rsidP="00D34E2C">
      <w:pPr>
        <w:autoSpaceDE w:val="0"/>
        <w:autoSpaceDN w:val="0"/>
        <w:adjustRightInd w:val="0"/>
        <w:spacing w:after="0" w:line="360" w:lineRule="auto"/>
        <w:jc w:val="both"/>
        <w:rPr>
          <w:rFonts w:ascii="Arial" w:eastAsia="Calibri" w:hAnsi="Arial"/>
          <w:b/>
          <w:bCs/>
          <w:color w:val="595959"/>
        </w:rPr>
      </w:pPr>
      <w:r w:rsidRPr="00263BBB">
        <w:rPr>
          <w:rFonts w:ascii="Arial" w:eastAsia="Calibri" w:hAnsi="Arial"/>
          <w:b/>
          <w:bCs/>
          <w:color w:val="D6A461" w:themeColor="text2"/>
        </w:rPr>
        <w:t xml:space="preserve">Figure 12: </w:t>
      </w:r>
      <w:r w:rsidRPr="00576ACA">
        <w:rPr>
          <w:rFonts w:ascii="Arial" w:eastAsia="Calibri" w:hAnsi="Arial"/>
          <w:b/>
          <w:bCs/>
          <w:color w:val="595959"/>
        </w:rPr>
        <w:t xml:space="preserve">Percentage change in </w:t>
      </w:r>
      <w:r w:rsidR="00D34E2C" w:rsidRPr="00576ACA">
        <w:rPr>
          <w:rFonts w:ascii="Arial" w:eastAsia="Calibri" w:hAnsi="Arial"/>
          <w:b/>
          <w:bCs/>
          <w:color w:val="595959"/>
        </w:rPr>
        <w:t>the ‘F</w:t>
      </w:r>
      <w:r w:rsidRPr="00576ACA">
        <w:rPr>
          <w:rFonts w:ascii="Arial" w:eastAsia="Calibri" w:hAnsi="Arial"/>
          <w:b/>
          <w:bCs/>
          <w:color w:val="595959"/>
        </w:rPr>
        <w:t xml:space="preserve">inancial </w:t>
      </w:r>
      <w:r w:rsidR="00D34E2C" w:rsidRPr="00576ACA">
        <w:rPr>
          <w:rFonts w:ascii="Arial" w:eastAsia="Calibri" w:hAnsi="Arial"/>
          <w:b/>
          <w:bCs/>
          <w:color w:val="595959"/>
        </w:rPr>
        <w:t xml:space="preserve">companies’ sector </w:t>
      </w:r>
      <w:r w:rsidRPr="00576ACA">
        <w:rPr>
          <w:rFonts w:ascii="Arial" w:eastAsia="Calibri" w:hAnsi="Arial"/>
          <w:b/>
          <w:bCs/>
          <w:color w:val="595959"/>
        </w:rPr>
        <w:t>at constant 2007 prices, from the same quarter of the previous year</w:t>
      </w:r>
    </w:p>
    <w:p w14:paraId="29E2B8FC" w14:textId="7645E73F" w:rsidR="00D3097D" w:rsidRPr="00572C77" w:rsidRDefault="007217B6" w:rsidP="00D3097D">
      <w:pPr>
        <w:autoSpaceDE w:val="0"/>
        <w:autoSpaceDN w:val="0"/>
        <w:adjustRightInd w:val="0"/>
        <w:spacing w:after="0" w:line="360" w:lineRule="auto"/>
        <w:jc w:val="both"/>
        <w:rPr>
          <w:rFonts w:ascii="Arial" w:eastAsia="Calibri" w:hAnsi="Arial"/>
          <w:bCs/>
          <w:color w:val="595959"/>
          <w:sz w:val="20"/>
          <w:szCs w:val="20"/>
          <w:lang w:bidi="ar-AE"/>
        </w:rPr>
      </w:pPr>
      <w:r>
        <w:rPr>
          <w:noProof/>
        </w:rPr>
        <w:drawing>
          <wp:inline distT="0" distB="0" distL="0" distR="0" wp14:anchorId="72C548FB" wp14:editId="61CA852C">
            <wp:extent cx="5936615" cy="2437130"/>
            <wp:effectExtent l="0" t="0" r="6985" b="127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DB3D55" w14:textId="77777777" w:rsidR="00D3097D" w:rsidRDefault="00D3097D" w:rsidP="00D3097D">
      <w:pPr>
        <w:autoSpaceDE w:val="0"/>
        <w:autoSpaceDN w:val="0"/>
        <w:adjustRightInd w:val="0"/>
        <w:spacing w:after="0" w:line="240" w:lineRule="auto"/>
        <w:contextualSpacing/>
        <w:rPr>
          <w:rFonts w:ascii="Arial" w:hAnsi="Arial"/>
          <w:b/>
          <w:bCs/>
          <w:color w:val="C00000"/>
          <w:sz w:val="16"/>
          <w:szCs w:val="16"/>
        </w:rPr>
      </w:pPr>
    </w:p>
    <w:p w14:paraId="17CCA040" w14:textId="77777777" w:rsidR="00D3097D" w:rsidRPr="00757155" w:rsidRDefault="00D3097D" w:rsidP="00917809">
      <w:pPr>
        <w:pStyle w:val="EcoSourceNote"/>
      </w:pPr>
      <w:r w:rsidRPr="00757155">
        <w:t>Source: Statistics Centre - Abu Dhabi</w:t>
      </w:r>
    </w:p>
    <w:p w14:paraId="39C5DC97" w14:textId="77777777" w:rsidR="001E596D" w:rsidRDefault="001E596D" w:rsidP="00C21FE2">
      <w:pPr>
        <w:autoSpaceDE w:val="0"/>
        <w:autoSpaceDN w:val="0"/>
        <w:adjustRightInd w:val="0"/>
        <w:spacing w:after="0" w:line="360" w:lineRule="auto"/>
        <w:rPr>
          <w:rFonts w:ascii="Arial" w:eastAsia="Calibri" w:hAnsi="Arial"/>
          <w:b/>
          <w:color w:val="595959"/>
          <w:sz w:val="20"/>
          <w:szCs w:val="20"/>
          <w:lang w:bidi="ar-AE"/>
        </w:rPr>
      </w:pPr>
    </w:p>
    <w:p w14:paraId="65E43243" w14:textId="6ED752C9" w:rsidR="00D3097D" w:rsidRPr="00B2550C" w:rsidRDefault="00386DD3" w:rsidP="00386DD3">
      <w:pPr>
        <w:autoSpaceDE w:val="0"/>
        <w:autoSpaceDN w:val="0"/>
        <w:adjustRightInd w:val="0"/>
        <w:spacing w:after="0" w:line="360" w:lineRule="auto"/>
        <w:rPr>
          <w:rFonts w:ascii="Arial" w:eastAsia="Calibri" w:hAnsi="Arial"/>
          <w:b/>
          <w:color w:val="595959"/>
          <w:sz w:val="20"/>
          <w:szCs w:val="20"/>
          <w:lang w:bidi="ar-AE"/>
        </w:rPr>
      </w:pPr>
      <w:r>
        <w:rPr>
          <w:rFonts w:ascii="Arial" w:eastAsia="Calibri" w:hAnsi="Arial"/>
          <w:b/>
          <w:color w:val="595959"/>
          <w:sz w:val="20"/>
          <w:szCs w:val="20"/>
          <w:lang w:bidi="ar-AE"/>
        </w:rPr>
        <w:t>General government sector</w:t>
      </w:r>
    </w:p>
    <w:p w14:paraId="7E692507" w14:textId="37A6E4E9" w:rsidR="00054456" w:rsidRDefault="00D3097D" w:rsidP="00D138B5">
      <w:pPr>
        <w:autoSpaceDE w:val="0"/>
        <w:autoSpaceDN w:val="0"/>
        <w:adjustRightInd w:val="0"/>
        <w:spacing w:after="0" w:line="360" w:lineRule="auto"/>
        <w:jc w:val="both"/>
        <w:rPr>
          <w:rFonts w:ascii="Arial" w:eastAsia="Calibri" w:hAnsi="Arial"/>
          <w:bCs/>
          <w:color w:val="595959"/>
          <w:sz w:val="20"/>
          <w:szCs w:val="20"/>
          <w:lang w:bidi="ar-AE"/>
        </w:rPr>
      </w:pPr>
      <w:r w:rsidRPr="005A31F7">
        <w:rPr>
          <w:rFonts w:ascii="Arial" w:eastAsia="Calibri" w:hAnsi="Arial"/>
          <w:bCs/>
          <w:color w:val="595959"/>
          <w:sz w:val="20"/>
          <w:szCs w:val="20"/>
          <w:lang w:bidi="ar-AE"/>
        </w:rPr>
        <w:t xml:space="preserve">The </w:t>
      </w:r>
      <w:r w:rsidRPr="00B46F50">
        <w:rPr>
          <w:rFonts w:ascii="Arial" w:eastAsia="Calibri" w:hAnsi="Arial"/>
          <w:bCs/>
          <w:color w:val="595959"/>
          <w:sz w:val="20"/>
          <w:szCs w:val="20"/>
          <w:lang w:bidi="ar-AE"/>
        </w:rPr>
        <w:t>value added by the ‘</w:t>
      </w:r>
      <w:r w:rsidR="00D34E2C">
        <w:rPr>
          <w:rFonts w:ascii="Arial" w:eastAsia="Calibri" w:hAnsi="Arial"/>
          <w:bCs/>
          <w:color w:val="595959"/>
          <w:sz w:val="20"/>
          <w:szCs w:val="20"/>
          <w:lang w:bidi="ar-AE"/>
        </w:rPr>
        <w:t>General government’</w:t>
      </w:r>
      <w:r w:rsidRPr="00B46F50">
        <w:rPr>
          <w:rFonts w:ascii="Arial" w:eastAsia="Calibri" w:hAnsi="Arial"/>
          <w:bCs/>
          <w:color w:val="595959"/>
          <w:sz w:val="20"/>
          <w:szCs w:val="20"/>
          <w:lang w:bidi="ar-AE"/>
        </w:rPr>
        <w:t xml:space="preserve"> sector </w:t>
      </w:r>
      <w:r w:rsidR="00D138B5">
        <w:rPr>
          <w:rFonts w:ascii="Arial" w:eastAsia="Calibri" w:hAnsi="Arial"/>
          <w:bCs/>
          <w:color w:val="595959"/>
          <w:sz w:val="20"/>
          <w:szCs w:val="20"/>
          <w:lang w:bidi="ar-AE"/>
        </w:rPr>
        <w:t>in</w:t>
      </w:r>
      <w:r>
        <w:rPr>
          <w:rFonts w:ascii="Arial" w:eastAsia="Calibri" w:hAnsi="Arial"/>
          <w:bCs/>
          <w:color w:val="595959"/>
          <w:sz w:val="20"/>
          <w:szCs w:val="20"/>
          <w:lang w:bidi="ar-AE"/>
        </w:rPr>
        <w:t xml:space="preserve">creased </w:t>
      </w:r>
      <w:r w:rsidRPr="00B46F50">
        <w:rPr>
          <w:rFonts w:ascii="Arial" w:eastAsia="Calibri" w:hAnsi="Arial"/>
          <w:bCs/>
          <w:color w:val="595959"/>
          <w:sz w:val="20"/>
          <w:szCs w:val="20"/>
          <w:lang w:bidi="ar-AE"/>
        </w:rPr>
        <w:t xml:space="preserve">by </w:t>
      </w:r>
      <w:r w:rsidR="00D138B5">
        <w:rPr>
          <w:rFonts w:ascii="Arial" w:eastAsia="Calibri" w:hAnsi="Arial"/>
          <w:bCs/>
          <w:color w:val="595959"/>
          <w:sz w:val="20"/>
          <w:szCs w:val="20"/>
          <w:lang w:bidi="ar-AE"/>
        </w:rPr>
        <w:t>0.1</w:t>
      </w:r>
      <w:r w:rsidRPr="00B46F50">
        <w:rPr>
          <w:rFonts w:ascii="Arial" w:eastAsia="Calibri" w:hAnsi="Arial"/>
          <w:bCs/>
          <w:color w:val="595959"/>
          <w:sz w:val="20"/>
          <w:szCs w:val="20"/>
          <w:lang w:bidi="ar-AE"/>
        </w:rPr>
        <w:t xml:space="preserve">% from AED </w:t>
      </w:r>
      <w:r w:rsidR="00DE1A9B">
        <w:rPr>
          <w:rFonts w:ascii="Arial" w:eastAsia="Calibri" w:hAnsi="Arial"/>
          <w:bCs/>
          <w:color w:val="595959"/>
          <w:sz w:val="20"/>
          <w:szCs w:val="20"/>
          <w:lang w:bidi="ar-AE"/>
        </w:rPr>
        <w:t>7,</w:t>
      </w:r>
      <w:r w:rsidR="00D138B5">
        <w:rPr>
          <w:rFonts w:ascii="Arial" w:eastAsia="Calibri" w:hAnsi="Arial"/>
          <w:bCs/>
          <w:color w:val="595959"/>
          <w:sz w:val="20"/>
          <w:szCs w:val="20"/>
          <w:lang w:bidi="ar-AE"/>
        </w:rPr>
        <w:t>756</w:t>
      </w:r>
      <w:r w:rsidR="00330905">
        <w:rPr>
          <w:rFonts w:ascii="Arial" w:eastAsia="Calibri" w:hAnsi="Arial"/>
          <w:bCs/>
          <w:color w:val="595959"/>
          <w:sz w:val="20"/>
          <w:szCs w:val="20"/>
          <w:lang w:bidi="ar-AE"/>
        </w:rPr>
        <w:t xml:space="preserve"> </w:t>
      </w:r>
      <w:r w:rsidRPr="00B46F50">
        <w:rPr>
          <w:rFonts w:ascii="Arial" w:eastAsia="Calibri" w:hAnsi="Arial"/>
          <w:bCs/>
          <w:color w:val="595959"/>
          <w:sz w:val="20"/>
          <w:szCs w:val="20"/>
          <w:lang w:bidi="ar-AE"/>
        </w:rPr>
        <w:t xml:space="preserve">million in the </w:t>
      </w:r>
      <w:r w:rsidR="00A71A48">
        <w:rPr>
          <w:rFonts w:ascii="Arial" w:eastAsia="Calibri" w:hAnsi="Arial"/>
          <w:bCs/>
          <w:color w:val="595959"/>
          <w:sz w:val="20"/>
          <w:szCs w:val="20"/>
          <w:lang w:bidi="ar-AE"/>
        </w:rPr>
        <w:t>first</w:t>
      </w:r>
      <w:r w:rsidR="00CD64FA">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Pr="00B46F50">
        <w:rPr>
          <w:rFonts w:ascii="Arial" w:eastAsia="Calibri" w:hAnsi="Arial"/>
          <w:bCs/>
          <w:color w:val="595959"/>
          <w:sz w:val="20"/>
          <w:szCs w:val="20"/>
          <w:lang w:bidi="ar-AE"/>
        </w:rPr>
        <w:t xml:space="preserve"> to AED </w:t>
      </w:r>
      <w:r w:rsidR="00834CDE">
        <w:rPr>
          <w:rFonts w:ascii="Arial" w:eastAsia="Calibri" w:hAnsi="Arial"/>
          <w:bCs/>
          <w:color w:val="595959"/>
          <w:sz w:val="20"/>
          <w:szCs w:val="20"/>
          <w:lang w:bidi="ar-AE"/>
        </w:rPr>
        <w:t>7,7</w:t>
      </w:r>
      <w:r w:rsidR="00D138B5">
        <w:rPr>
          <w:rFonts w:ascii="Arial" w:eastAsia="Calibri" w:hAnsi="Arial"/>
          <w:bCs/>
          <w:color w:val="595959"/>
          <w:sz w:val="20"/>
          <w:szCs w:val="20"/>
          <w:lang w:bidi="ar-AE"/>
        </w:rPr>
        <w:t>63</w:t>
      </w:r>
      <w:r w:rsidR="00963654">
        <w:rPr>
          <w:rFonts w:ascii="Arial" w:eastAsia="Calibri" w:hAnsi="Arial"/>
          <w:bCs/>
          <w:color w:val="595959"/>
          <w:sz w:val="20"/>
          <w:szCs w:val="20"/>
          <w:lang w:bidi="ar-AE"/>
        </w:rPr>
        <w:t xml:space="preserve"> </w:t>
      </w:r>
      <w:r w:rsidRPr="00B46F50">
        <w:rPr>
          <w:rFonts w:ascii="Arial" w:eastAsia="Calibri" w:hAnsi="Arial"/>
          <w:bCs/>
          <w:color w:val="595959"/>
          <w:sz w:val="20"/>
          <w:szCs w:val="20"/>
          <w:lang w:bidi="ar-AE"/>
        </w:rPr>
        <w:t xml:space="preserve">million in the </w:t>
      </w:r>
      <w:r w:rsidR="00A71A48">
        <w:rPr>
          <w:rFonts w:ascii="Arial" w:eastAsia="Calibri" w:hAnsi="Arial"/>
          <w:bCs/>
          <w:color w:val="595959"/>
          <w:sz w:val="20"/>
          <w:szCs w:val="20"/>
          <w:lang w:bidi="ar-AE"/>
        </w:rPr>
        <w:t>first</w:t>
      </w:r>
      <w:r w:rsidR="00CD64FA">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Pr="00B46F50">
        <w:rPr>
          <w:rFonts w:ascii="Arial" w:eastAsia="Calibri" w:hAnsi="Arial"/>
          <w:bCs/>
          <w:color w:val="595959"/>
          <w:sz w:val="20"/>
          <w:szCs w:val="20"/>
          <w:lang w:bidi="ar-AE"/>
        </w:rPr>
        <w:t xml:space="preserve">. </w:t>
      </w:r>
      <w:r w:rsidRPr="0084566E">
        <w:rPr>
          <w:rFonts w:ascii="Arial" w:eastAsia="Calibri" w:hAnsi="Arial"/>
          <w:bCs/>
          <w:color w:val="595959"/>
          <w:sz w:val="20"/>
          <w:szCs w:val="20"/>
          <w:lang w:bidi="ar-AE"/>
        </w:rPr>
        <w:t xml:space="preserve">Its contribution to total GDP was </w:t>
      </w:r>
      <w:r w:rsidR="00834CDE">
        <w:rPr>
          <w:rFonts w:ascii="Arial" w:eastAsia="Calibri" w:hAnsi="Arial"/>
          <w:bCs/>
          <w:color w:val="595959"/>
          <w:sz w:val="20"/>
          <w:szCs w:val="20"/>
          <w:lang w:bidi="ar-AE"/>
        </w:rPr>
        <w:t>3.</w:t>
      </w:r>
      <w:r w:rsidR="00D138B5">
        <w:rPr>
          <w:rFonts w:ascii="Arial" w:eastAsia="Calibri" w:hAnsi="Arial"/>
          <w:bCs/>
          <w:color w:val="595959"/>
          <w:sz w:val="20"/>
          <w:szCs w:val="20"/>
          <w:lang w:bidi="ar-AE"/>
        </w:rPr>
        <w:t>7</w:t>
      </w:r>
      <w:r w:rsidRPr="0084566E">
        <w:rPr>
          <w:rFonts w:ascii="Arial" w:eastAsia="Calibri" w:hAnsi="Arial"/>
          <w:bCs/>
          <w:color w:val="595959"/>
          <w:sz w:val="20"/>
          <w:szCs w:val="20"/>
          <w:lang w:bidi="ar-AE"/>
        </w:rPr>
        <w:t xml:space="preserve">% in the </w:t>
      </w:r>
      <w:r w:rsidR="00A71A48">
        <w:rPr>
          <w:rFonts w:ascii="Arial" w:eastAsia="Calibri" w:hAnsi="Arial"/>
          <w:bCs/>
          <w:color w:val="595959"/>
          <w:sz w:val="20"/>
          <w:szCs w:val="20"/>
          <w:lang w:bidi="ar-AE"/>
        </w:rPr>
        <w:t>first</w:t>
      </w:r>
      <w:r w:rsidR="00CD64FA">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Pr="0084566E">
        <w:rPr>
          <w:rFonts w:ascii="Arial" w:eastAsia="Calibri" w:hAnsi="Arial"/>
          <w:bCs/>
          <w:color w:val="595959"/>
          <w:sz w:val="20"/>
          <w:szCs w:val="20"/>
          <w:lang w:bidi="ar-AE"/>
        </w:rPr>
        <w:t xml:space="preserve"> compared with </w:t>
      </w:r>
      <w:r w:rsidR="00963654">
        <w:rPr>
          <w:rFonts w:ascii="Arial" w:eastAsia="Calibri" w:hAnsi="Arial"/>
          <w:bCs/>
          <w:color w:val="595959"/>
          <w:sz w:val="20"/>
          <w:szCs w:val="20"/>
          <w:lang w:bidi="ar-AE"/>
        </w:rPr>
        <w:t>4.</w:t>
      </w:r>
      <w:r w:rsidR="00D138B5">
        <w:rPr>
          <w:rFonts w:ascii="Arial" w:eastAsia="Calibri" w:hAnsi="Arial"/>
          <w:bCs/>
          <w:color w:val="595959"/>
          <w:sz w:val="20"/>
          <w:szCs w:val="20"/>
          <w:lang w:bidi="ar-AE"/>
        </w:rPr>
        <w:t>0</w:t>
      </w:r>
      <w:r w:rsidR="00442C8E">
        <w:rPr>
          <w:rFonts w:ascii="Arial" w:eastAsia="Calibri" w:hAnsi="Arial"/>
          <w:bCs/>
          <w:color w:val="595959"/>
          <w:sz w:val="20"/>
          <w:szCs w:val="20"/>
          <w:lang w:bidi="ar-AE"/>
        </w:rPr>
        <w:t>% in</w:t>
      </w:r>
      <w:r w:rsidRPr="0084566E">
        <w:rPr>
          <w:rFonts w:ascii="Arial" w:eastAsia="Calibri" w:hAnsi="Arial"/>
          <w:bCs/>
          <w:color w:val="595959"/>
          <w:sz w:val="20"/>
          <w:szCs w:val="20"/>
          <w:lang w:bidi="ar-AE"/>
        </w:rPr>
        <w:t xml:space="preserve"> </w:t>
      </w:r>
      <w:r w:rsidR="00442C8E">
        <w:rPr>
          <w:rFonts w:ascii="Arial" w:eastAsia="Calibri" w:hAnsi="Arial"/>
          <w:bCs/>
          <w:color w:val="595959"/>
          <w:sz w:val="20"/>
          <w:szCs w:val="20"/>
          <w:lang w:bidi="ar-AE"/>
        </w:rPr>
        <w:t xml:space="preserve">the </w:t>
      </w:r>
      <w:r w:rsidR="00883639" w:rsidRPr="0084566E">
        <w:rPr>
          <w:rFonts w:ascii="Arial" w:eastAsia="Calibri" w:hAnsi="Arial"/>
          <w:bCs/>
          <w:color w:val="595959"/>
          <w:sz w:val="20"/>
          <w:szCs w:val="20"/>
          <w:lang w:bidi="ar-AE"/>
        </w:rPr>
        <w:t xml:space="preserve">same </w:t>
      </w:r>
      <w:r w:rsidRPr="0084566E">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Pr="0084566E">
        <w:rPr>
          <w:rFonts w:ascii="Arial" w:eastAsia="Calibri" w:hAnsi="Arial"/>
          <w:bCs/>
          <w:color w:val="595959"/>
          <w:sz w:val="20"/>
          <w:szCs w:val="20"/>
          <w:lang w:bidi="ar-AE"/>
        </w:rPr>
        <w:t>.</w:t>
      </w:r>
    </w:p>
    <w:p w14:paraId="01FECDB9" w14:textId="32815518" w:rsidR="00D3097D" w:rsidRPr="00B2550C" w:rsidRDefault="00D3097D" w:rsidP="00D34E2C">
      <w:pPr>
        <w:autoSpaceDE w:val="0"/>
        <w:autoSpaceDN w:val="0"/>
        <w:adjustRightInd w:val="0"/>
        <w:spacing w:after="0" w:line="360" w:lineRule="auto"/>
        <w:rPr>
          <w:rFonts w:ascii="Arial" w:eastAsia="Calibri" w:hAnsi="Arial"/>
          <w:b/>
          <w:bCs/>
          <w:color w:val="595959"/>
        </w:rPr>
      </w:pPr>
      <w:r w:rsidRPr="00263BBB">
        <w:rPr>
          <w:rFonts w:ascii="Arial" w:eastAsia="Calibri" w:hAnsi="Arial"/>
          <w:b/>
          <w:bCs/>
          <w:color w:val="D6A461" w:themeColor="text2"/>
        </w:rPr>
        <w:lastRenderedPageBreak/>
        <w:t xml:space="preserve">Figure 13: </w:t>
      </w:r>
      <w:r w:rsidRPr="00576ACA">
        <w:rPr>
          <w:rFonts w:ascii="Arial" w:eastAsia="Calibri" w:hAnsi="Arial"/>
          <w:b/>
          <w:bCs/>
          <w:color w:val="595959"/>
        </w:rPr>
        <w:t xml:space="preserve">Percentage change in </w:t>
      </w:r>
      <w:r w:rsidR="00D34E2C" w:rsidRPr="00576ACA">
        <w:rPr>
          <w:rFonts w:ascii="Arial" w:eastAsia="Calibri" w:hAnsi="Arial"/>
          <w:b/>
          <w:bCs/>
          <w:color w:val="595959"/>
        </w:rPr>
        <w:t>the ‘General government’ sector</w:t>
      </w:r>
      <w:r w:rsidRPr="00576ACA">
        <w:rPr>
          <w:rFonts w:ascii="Arial" w:eastAsia="Calibri" w:hAnsi="Arial"/>
          <w:b/>
          <w:bCs/>
          <w:color w:val="595959"/>
        </w:rPr>
        <w:t xml:space="preserve"> at constant 2007 prices, from the same quarter of the previous year</w:t>
      </w:r>
    </w:p>
    <w:p w14:paraId="2726E037" w14:textId="4C5B9A70" w:rsidR="00D3097D" w:rsidRPr="00266900" w:rsidRDefault="007217B6" w:rsidP="00D3097D">
      <w:pPr>
        <w:tabs>
          <w:tab w:val="left" w:pos="705"/>
          <w:tab w:val="left" w:pos="3525"/>
        </w:tabs>
        <w:autoSpaceDE w:val="0"/>
        <w:autoSpaceDN w:val="0"/>
        <w:adjustRightInd w:val="0"/>
        <w:spacing w:after="0" w:line="360" w:lineRule="auto"/>
        <w:rPr>
          <w:rFonts w:ascii="Arial" w:eastAsia="Calibri" w:hAnsi="Arial"/>
          <w:b/>
          <w:color w:val="595959"/>
          <w:sz w:val="20"/>
          <w:szCs w:val="20"/>
          <w:rtl/>
          <w:lang w:bidi="ar-AE"/>
        </w:rPr>
      </w:pPr>
      <w:r>
        <w:rPr>
          <w:noProof/>
        </w:rPr>
        <w:drawing>
          <wp:inline distT="0" distB="0" distL="0" distR="0" wp14:anchorId="7140A3F6" wp14:editId="3622CE41">
            <wp:extent cx="5936615" cy="2613660"/>
            <wp:effectExtent l="0" t="0" r="698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7465B1" w14:textId="77777777" w:rsidR="00D3097D" w:rsidRPr="00757155" w:rsidRDefault="00D3097D" w:rsidP="00917809">
      <w:pPr>
        <w:pStyle w:val="EcoSourceNote"/>
      </w:pPr>
      <w:r w:rsidRPr="00757155">
        <w:t>Source: Statistics Centre - Abu Dhabi</w:t>
      </w:r>
    </w:p>
    <w:p w14:paraId="6A9A09D4" w14:textId="77777777" w:rsidR="008B41C6" w:rsidRDefault="008B41C6" w:rsidP="00D3097D">
      <w:pPr>
        <w:autoSpaceDE w:val="0"/>
        <w:autoSpaceDN w:val="0"/>
        <w:adjustRightInd w:val="0"/>
        <w:spacing w:after="0" w:line="360" w:lineRule="auto"/>
        <w:rPr>
          <w:rFonts w:ascii="Arial" w:eastAsia="Calibri" w:hAnsi="Arial"/>
          <w:b/>
          <w:color w:val="595959"/>
          <w:lang w:bidi="ar-AE"/>
        </w:rPr>
      </w:pPr>
    </w:p>
    <w:p w14:paraId="216DFB43" w14:textId="7A5CBC8E" w:rsidR="00D3097D" w:rsidRPr="001A2BD5" w:rsidRDefault="00386DD3" w:rsidP="00D3097D">
      <w:pPr>
        <w:autoSpaceDE w:val="0"/>
        <w:autoSpaceDN w:val="0"/>
        <w:adjustRightInd w:val="0"/>
        <w:spacing w:after="0" w:line="360" w:lineRule="auto"/>
        <w:rPr>
          <w:rFonts w:ascii="Arial" w:eastAsia="Calibri" w:hAnsi="Arial"/>
          <w:b/>
          <w:color w:val="595959"/>
          <w:sz w:val="20"/>
          <w:szCs w:val="20"/>
          <w:lang w:bidi="ar-AE"/>
        </w:rPr>
      </w:pPr>
      <w:r>
        <w:rPr>
          <w:rFonts w:ascii="Arial" w:eastAsia="Calibri" w:hAnsi="Arial"/>
          <w:b/>
          <w:color w:val="595959"/>
          <w:sz w:val="20"/>
          <w:szCs w:val="20"/>
          <w:lang w:bidi="ar-AE"/>
        </w:rPr>
        <w:t>Household sector</w:t>
      </w:r>
    </w:p>
    <w:p w14:paraId="134D0984" w14:textId="785B6564" w:rsidR="00D3097D" w:rsidRPr="00B2550C" w:rsidRDefault="00D3097D" w:rsidP="00D138B5">
      <w:pPr>
        <w:autoSpaceDE w:val="0"/>
        <w:autoSpaceDN w:val="0"/>
        <w:adjustRightInd w:val="0"/>
        <w:spacing w:after="0" w:line="360" w:lineRule="auto"/>
        <w:jc w:val="both"/>
        <w:rPr>
          <w:rFonts w:ascii="Arial" w:eastAsia="Calibri" w:hAnsi="Arial"/>
          <w:bCs/>
          <w:color w:val="595959"/>
          <w:sz w:val="20"/>
          <w:szCs w:val="20"/>
          <w:lang w:bidi="ar-AE"/>
        </w:rPr>
      </w:pPr>
      <w:r w:rsidRPr="00B2550C">
        <w:rPr>
          <w:rFonts w:ascii="Arial" w:eastAsia="Calibri" w:hAnsi="Arial"/>
          <w:bCs/>
          <w:color w:val="595959"/>
          <w:sz w:val="20"/>
          <w:szCs w:val="20"/>
          <w:lang w:bidi="ar-AE"/>
        </w:rPr>
        <w:t xml:space="preserve">The value </w:t>
      </w:r>
      <w:r w:rsidRPr="00B46F50">
        <w:rPr>
          <w:rFonts w:ascii="Arial" w:eastAsia="Calibri" w:hAnsi="Arial"/>
          <w:bCs/>
          <w:color w:val="595959"/>
          <w:sz w:val="20"/>
          <w:szCs w:val="20"/>
          <w:lang w:bidi="ar-AE"/>
        </w:rPr>
        <w:t xml:space="preserve">added by the ‘Household’ sector </w:t>
      </w:r>
      <w:r w:rsidR="00BF7822">
        <w:rPr>
          <w:rFonts w:ascii="Arial" w:eastAsia="Calibri" w:hAnsi="Arial"/>
          <w:bCs/>
          <w:color w:val="595959"/>
          <w:sz w:val="20"/>
          <w:szCs w:val="20"/>
          <w:lang w:bidi="ar-AE"/>
        </w:rPr>
        <w:t>in</w:t>
      </w:r>
      <w:r w:rsidRPr="00B46F50">
        <w:rPr>
          <w:rFonts w:ascii="Arial" w:eastAsia="Calibri" w:hAnsi="Arial"/>
          <w:bCs/>
          <w:color w:val="595959"/>
          <w:sz w:val="20"/>
          <w:szCs w:val="20"/>
          <w:lang w:bidi="ar-AE"/>
        </w:rPr>
        <w:t xml:space="preserve">creased by </w:t>
      </w:r>
      <w:r w:rsidR="00834CDE">
        <w:rPr>
          <w:rFonts w:ascii="Arial" w:eastAsia="Calibri" w:hAnsi="Arial"/>
          <w:bCs/>
          <w:color w:val="595959"/>
          <w:sz w:val="20"/>
          <w:szCs w:val="20"/>
          <w:lang w:bidi="ar-AE"/>
        </w:rPr>
        <w:t>3.1</w:t>
      </w:r>
      <w:r w:rsidRPr="00B46F50">
        <w:rPr>
          <w:rFonts w:ascii="Arial" w:eastAsia="Calibri" w:hAnsi="Arial"/>
          <w:bCs/>
          <w:color w:val="595959"/>
          <w:sz w:val="20"/>
          <w:szCs w:val="20"/>
          <w:lang w:bidi="ar-AE"/>
        </w:rPr>
        <w:t xml:space="preserve">% from AED </w:t>
      </w:r>
      <w:r w:rsidR="00E35F07">
        <w:rPr>
          <w:rFonts w:ascii="Arial" w:eastAsia="Calibri" w:hAnsi="Arial"/>
          <w:bCs/>
          <w:color w:val="595959"/>
          <w:sz w:val="20"/>
          <w:szCs w:val="20"/>
          <w:lang w:bidi="ar-AE"/>
        </w:rPr>
        <w:t>1,0</w:t>
      </w:r>
      <w:r w:rsidR="00D138B5">
        <w:rPr>
          <w:rFonts w:ascii="Arial" w:eastAsia="Calibri" w:hAnsi="Arial"/>
          <w:bCs/>
          <w:color w:val="595959"/>
          <w:sz w:val="20"/>
          <w:szCs w:val="20"/>
          <w:lang w:bidi="ar-AE"/>
        </w:rPr>
        <w:t>43</w:t>
      </w:r>
      <w:r w:rsidR="00E35F07">
        <w:rPr>
          <w:rFonts w:ascii="Arial" w:eastAsia="Calibri" w:hAnsi="Arial"/>
          <w:bCs/>
          <w:color w:val="595959"/>
          <w:sz w:val="20"/>
          <w:szCs w:val="20"/>
          <w:lang w:bidi="ar-AE"/>
        </w:rPr>
        <w:t xml:space="preserve"> </w:t>
      </w:r>
      <w:r w:rsidRPr="00B46F50">
        <w:rPr>
          <w:rFonts w:ascii="Arial" w:eastAsia="Calibri" w:hAnsi="Arial"/>
          <w:bCs/>
          <w:color w:val="595959"/>
          <w:sz w:val="20"/>
          <w:szCs w:val="20"/>
          <w:lang w:bidi="ar-AE"/>
        </w:rPr>
        <w:t xml:space="preserve">million in the </w:t>
      </w:r>
      <w:r w:rsidR="00A71A48">
        <w:rPr>
          <w:rFonts w:ascii="Arial" w:eastAsia="Calibri" w:hAnsi="Arial"/>
          <w:bCs/>
          <w:color w:val="595959"/>
          <w:sz w:val="20"/>
          <w:szCs w:val="20"/>
          <w:lang w:bidi="ar-AE"/>
        </w:rPr>
        <w:t>first</w:t>
      </w:r>
      <w:r w:rsidR="00CD64FA">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2018</w:t>
      </w:r>
      <w:r w:rsidRPr="00B46F50">
        <w:rPr>
          <w:rFonts w:ascii="Arial" w:eastAsia="Calibri" w:hAnsi="Arial"/>
          <w:bCs/>
          <w:color w:val="595959"/>
          <w:sz w:val="20"/>
          <w:szCs w:val="20"/>
          <w:lang w:bidi="ar-AE"/>
        </w:rPr>
        <w:t xml:space="preserve"> to AED </w:t>
      </w:r>
      <w:r w:rsidR="00E35F07">
        <w:rPr>
          <w:rFonts w:ascii="Arial" w:eastAsia="Calibri" w:hAnsi="Arial"/>
          <w:bCs/>
          <w:color w:val="595959"/>
          <w:sz w:val="20"/>
          <w:szCs w:val="20"/>
          <w:lang w:bidi="ar-AE"/>
        </w:rPr>
        <w:t>1,</w:t>
      </w:r>
      <w:r w:rsidR="00834CDE">
        <w:rPr>
          <w:rFonts w:ascii="Arial" w:eastAsia="Calibri" w:hAnsi="Arial"/>
          <w:bCs/>
          <w:color w:val="595959"/>
          <w:sz w:val="20"/>
          <w:szCs w:val="20"/>
          <w:lang w:bidi="ar-AE"/>
        </w:rPr>
        <w:t>0</w:t>
      </w:r>
      <w:r w:rsidR="00D138B5">
        <w:rPr>
          <w:rFonts w:ascii="Arial" w:eastAsia="Calibri" w:hAnsi="Arial"/>
          <w:bCs/>
          <w:color w:val="595959"/>
          <w:sz w:val="20"/>
          <w:szCs w:val="20"/>
          <w:lang w:bidi="ar-AE"/>
        </w:rPr>
        <w:t>75</w:t>
      </w:r>
      <w:r>
        <w:rPr>
          <w:rFonts w:ascii="Arial" w:eastAsia="Calibri" w:hAnsi="Arial"/>
          <w:bCs/>
          <w:color w:val="595959"/>
          <w:sz w:val="20"/>
          <w:szCs w:val="20"/>
          <w:lang w:bidi="ar-AE"/>
        </w:rPr>
        <w:t xml:space="preserve"> </w:t>
      </w:r>
      <w:r w:rsidRPr="00B46F50">
        <w:rPr>
          <w:rFonts w:ascii="Arial" w:eastAsia="Calibri" w:hAnsi="Arial"/>
          <w:bCs/>
          <w:color w:val="595959"/>
          <w:sz w:val="20"/>
          <w:szCs w:val="20"/>
          <w:lang w:bidi="ar-AE"/>
        </w:rPr>
        <w:t xml:space="preserve">million in the </w:t>
      </w:r>
      <w:r w:rsidR="00A71A48">
        <w:rPr>
          <w:rFonts w:ascii="Arial" w:eastAsia="Calibri" w:hAnsi="Arial"/>
          <w:bCs/>
          <w:color w:val="595959"/>
          <w:sz w:val="20"/>
          <w:szCs w:val="20"/>
          <w:lang w:bidi="ar-AE"/>
        </w:rPr>
        <w:t>first</w:t>
      </w:r>
      <w:r w:rsidR="00CD64FA">
        <w:rPr>
          <w:rFonts w:ascii="Arial" w:eastAsia="Calibri" w:hAnsi="Arial"/>
          <w:bCs/>
          <w:color w:val="595959"/>
          <w:sz w:val="20"/>
          <w:szCs w:val="20"/>
          <w:lang w:bidi="ar-AE"/>
        </w:rPr>
        <w:t xml:space="preserve"> </w:t>
      </w:r>
      <w:r w:rsidR="00DA23C1">
        <w:rPr>
          <w:rFonts w:ascii="Arial" w:eastAsia="Calibri" w:hAnsi="Arial"/>
          <w:bCs/>
          <w:color w:val="595959"/>
          <w:sz w:val="20"/>
          <w:szCs w:val="20"/>
          <w:lang w:bidi="ar-AE"/>
        </w:rPr>
        <w:t xml:space="preserve">quarter of </w:t>
      </w:r>
      <w:r w:rsidR="00A71A48">
        <w:rPr>
          <w:rFonts w:ascii="Arial" w:eastAsia="Calibri" w:hAnsi="Arial"/>
          <w:bCs/>
          <w:color w:val="595959"/>
          <w:sz w:val="20"/>
          <w:szCs w:val="20"/>
          <w:lang w:bidi="ar-AE"/>
        </w:rPr>
        <w:t>2019</w:t>
      </w:r>
      <w:r w:rsidRPr="00B46F50">
        <w:rPr>
          <w:rFonts w:ascii="Arial" w:eastAsia="Calibri" w:hAnsi="Arial"/>
          <w:bCs/>
          <w:color w:val="595959"/>
          <w:sz w:val="20"/>
          <w:szCs w:val="20"/>
          <w:lang w:bidi="ar-AE"/>
        </w:rPr>
        <w:t xml:space="preserve">. Its contribution to total GDP </w:t>
      </w:r>
      <w:r w:rsidR="00834CDE">
        <w:rPr>
          <w:rFonts w:ascii="Arial" w:eastAsia="Calibri" w:hAnsi="Arial"/>
          <w:bCs/>
          <w:color w:val="595959"/>
          <w:sz w:val="20"/>
          <w:szCs w:val="20"/>
          <w:lang w:bidi="ar-AE"/>
        </w:rPr>
        <w:t xml:space="preserve">remained at 0.5% </w:t>
      </w:r>
      <w:r w:rsidR="00E565C8">
        <w:rPr>
          <w:rFonts w:ascii="Arial" w:eastAsia="Calibri" w:hAnsi="Arial"/>
          <w:bCs/>
          <w:color w:val="595959"/>
          <w:sz w:val="20"/>
          <w:szCs w:val="20"/>
          <w:lang w:bidi="ar-AE"/>
        </w:rPr>
        <w:t xml:space="preserve">over the same period. </w:t>
      </w:r>
    </w:p>
    <w:p w14:paraId="0D72CE12" w14:textId="77777777" w:rsidR="00D3097D" w:rsidRPr="00B2550C" w:rsidRDefault="00D3097D" w:rsidP="00D3097D">
      <w:pPr>
        <w:autoSpaceDE w:val="0"/>
        <w:autoSpaceDN w:val="0"/>
        <w:adjustRightInd w:val="0"/>
        <w:spacing w:after="0" w:line="360" w:lineRule="auto"/>
        <w:rPr>
          <w:rFonts w:ascii="Arial" w:eastAsia="Calibri" w:hAnsi="Arial"/>
          <w:b/>
          <w:bCs/>
          <w:color w:val="595959"/>
          <w:sz w:val="20"/>
          <w:szCs w:val="20"/>
        </w:rPr>
      </w:pPr>
    </w:p>
    <w:p w14:paraId="08583619" w14:textId="3569961E" w:rsidR="00D3097D" w:rsidRPr="00B2550C" w:rsidRDefault="00D3097D" w:rsidP="00D34E2C">
      <w:pPr>
        <w:autoSpaceDE w:val="0"/>
        <w:autoSpaceDN w:val="0"/>
        <w:adjustRightInd w:val="0"/>
        <w:spacing w:after="0" w:line="360" w:lineRule="auto"/>
        <w:rPr>
          <w:rFonts w:ascii="Arial" w:eastAsia="Calibri" w:hAnsi="Arial"/>
          <w:b/>
          <w:bCs/>
          <w:color w:val="595959"/>
        </w:rPr>
      </w:pPr>
      <w:r w:rsidRPr="00263BBB">
        <w:rPr>
          <w:rFonts w:ascii="Arial" w:eastAsia="Calibri" w:hAnsi="Arial"/>
          <w:b/>
          <w:bCs/>
          <w:color w:val="D6A461" w:themeColor="text2"/>
        </w:rPr>
        <w:t xml:space="preserve">Figure 14: </w:t>
      </w:r>
      <w:r w:rsidRPr="00B2550C">
        <w:rPr>
          <w:rFonts w:ascii="Arial" w:eastAsia="Calibri" w:hAnsi="Arial"/>
          <w:b/>
          <w:bCs/>
          <w:color w:val="595959"/>
        </w:rPr>
        <w:t xml:space="preserve">Percentage change in </w:t>
      </w:r>
      <w:r>
        <w:rPr>
          <w:rFonts w:ascii="Arial" w:eastAsia="Calibri" w:hAnsi="Arial"/>
          <w:b/>
          <w:bCs/>
          <w:color w:val="595959"/>
        </w:rPr>
        <w:t>a</w:t>
      </w:r>
      <w:r w:rsidRPr="00B2550C">
        <w:rPr>
          <w:rFonts w:ascii="Arial" w:eastAsia="Calibri" w:hAnsi="Arial"/>
          <w:b/>
          <w:bCs/>
          <w:color w:val="595959"/>
        </w:rPr>
        <w:t xml:space="preserve">ctivities of </w:t>
      </w:r>
      <w:r w:rsidR="00D34E2C">
        <w:rPr>
          <w:rFonts w:ascii="Arial" w:eastAsia="Calibri" w:hAnsi="Arial"/>
          <w:b/>
          <w:bCs/>
          <w:color w:val="595959"/>
        </w:rPr>
        <w:t>the ‘H</w:t>
      </w:r>
      <w:r w:rsidRPr="00B2550C">
        <w:rPr>
          <w:rFonts w:ascii="Arial" w:eastAsia="Calibri" w:hAnsi="Arial"/>
          <w:b/>
          <w:bCs/>
          <w:color w:val="595959"/>
        </w:rPr>
        <w:t>ousehold</w:t>
      </w:r>
      <w:r w:rsidR="00D34E2C">
        <w:rPr>
          <w:rFonts w:ascii="Arial" w:eastAsia="Calibri" w:hAnsi="Arial"/>
          <w:b/>
          <w:bCs/>
          <w:color w:val="595959"/>
        </w:rPr>
        <w:t>’ sector</w:t>
      </w:r>
      <w:r w:rsidRPr="00B2550C">
        <w:rPr>
          <w:rFonts w:ascii="Arial" w:eastAsia="Calibri" w:hAnsi="Arial"/>
          <w:b/>
          <w:bCs/>
          <w:color w:val="595959"/>
        </w:rPr>
        <w:t xml:space="preserve"> at constant 2007 prices, from the same quarter of the previous year</w:t>
      </w:r>
    </w:p>
    <w:p w14:paraId="3B202158" w14:textId="50BC0C67" w:rsidR="00D3097D" w:rsidRPr="00B2550C" w:rsidRDefault="007217B6" w:rsidP="00D3097D">
      <w:pPr>
        <w:autoSpaceDE w:val="0"/>
        <w:autoSpaceDN w:val="0"/>
        <w:adjustRightInd w:val="0"/>
        <w:spacing w:after="0" w:line="240" w:lineRule="auto"/>
        <w:contextualSpacing/>
        <w:rPr>
          <w:rFonts w:ascii="Arial" w:eastAsia="Calibri" w:hAnsi="Arial"/>
          <w:b/>
          <w:color w:val="595959"/>
          <w:sz w:val="20"/>
          <w:szCs w:val="20"/>
          <w:lang w:bidi="ar-AE"/>
        </w:rPr>
      </w:pPr>
      <w:r>
        <w:rPr>
          <w:noProof/>
        </w:rPr>
        <w:drawing>
          <wp:inline distT="0" distB="0" distL="0" distR="0" wp14:anchorId="5934A10F" wp14:editId="0533214E">
            <wp:extent cx="5936615" cy="1918335"/>
            <wp:effectExtent l="0" t="0" r="698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AABF2A7" w14:textId="77777777" w:rsidR="00D3097D" w:rsidRPr="00B2550C" w:rsidRDefault="00D3097D" w:rsidP="00D3097D">
      <w:pPr>
        <w:autoSpaceDE w:val="0"/>
        <w:autoSpaceDN w:val="0"/>
        <w:adjustRightInd w:val="0"/>
        <w:spacing w:after="0" w:line="240" w:lineRule="auto"/>
        <w:contextualSpacing/>
        <w:rPr>
          <w:rFonts w:ascii="Arial" w:hAnsi="Arial"/>
          <w:b/>
          <w:bCs/>
          <w:color w:val="595959"/>
          <w:sz w:val="20"/>
          <w:szCs w:val="20"/>
        </w:rPr>
      </w:pPr>
    </w:p>
    <w:p w14:paraId="476073D0" w14:textId="7E898E2B" w:rsidR="00D3097D" w:rsidRPr="00184FDF" w:rsidRDefault="00D3097D" w:rsidP="00184FDF">
      <w:pPr>
        <w:pStyle w:val="EcoSourceNote"/>
      </w:pPr>
      <w:r w:rsidRPr="00757155">
        <w:t>Source: Statistics Centre - Abu Dhabi</w:t>
      </w:r>
    </w:p>
    <w:bookmarkEnd w:id="4"/>
    <w:bookmarkEnd w:id="5"/>
    <w:p w14:paraId="49937799" w14:textId="77777777" w:rsidR="00B876D7" w:rsidRDefault="00B876D7" w:rsidP="004B5861">
      <w:pPr>
        <w:pStyle w:val="EcoHeading1"/>
        <w:ind w:left="0"/>
        <w:rPr>
          <w:rFonts w:eastAsia="Calibri" w:cs="Arial"/>
          <w:color w:val="AA9F8A"/>
          <w:lang w:val="en-US"/>
        </w:rPr>
      </w:pPr>
    </w:p>
    <w:p w14:paraId="1591708D" w14:textId="77777777" w:rsidR="007217B6" w:rsidRDefault="007217B6" w:rsidP="004B5861">
      <w:pPr>
        <w:pStyle w:val="EcoHeading1"/>
        <w:ind w:left="0"/>
        <w:rPr>
          <w:rFonts w:eastAsia="Calibri" w:cs="Arial"/>
          <w:color w:val="AA9F8A"/>
          <w:lang w:val="en-US"/>
        </w:rPr>
      </w:pPr>
    </w:p>
    <w:p w14:paraId="15B06A3F" w14:textId="77777777" w:rsidR="007217B6" w:rsidRDefault="007217B6" w:rsidP="004B5861">
      <w:pPr>
        <w:pStyle w:val="EcoHeading1"/>
        <w:ind w:left="0"/>
        <w:rPr>
          <w:rFonts w:eastAsia="Calibri" w:cs="Arial"/>
          <w:color w:val="AA9F8A"/>
          <w:lang w:val="en-US"/>
        </w:rPr>
      </w:pPr>
    </w:p>
    <w:p w14:paraId="2BE8B400" w14:textId="77777777" w:rsidR="007217B6" w:rsidRDefault="007217B6" w:rsidP="004B5861">
      <w:pPr>
        <w:pStyle w:val="EcoHeading1"/>
        <w:ind w:left="0"/>
        <w:rPr>
          <w:rFonts w:eastAsia="Calibri" w:cs="Arial"/>
          <w:color w:val="AA9F8A"/>
          <w:rtl/>
          <w:lang w:val="en-US"/>
        </w:rPr>
      </w:pPr>
    </w:p>
    <w:p w14:paraId="3B9A55D3" w14:textId="77777777" w:rsidR="00184FDF" w:rsidRDefault="00184FDF" w:rsidP="004B5861">
      <w:pPr>
        <w:pStyle w:val="EcoHeading1"/>
        <w:ind w:left="0"/>
      </w:pPr>
    </w:p>
    <w:p w14:paraId="671AEE99" w14:textId="3D7CD0C2" w:rsidR="00B45201" w:rsidRPr="004B5861" w:rsidRDefault="004B5861" w:rsidP="004B5861">
      <w:pPr>
        <w:pStyle w:val="EcoHeading1"/>
        <w:ind w:left="0"/>
      </w:pPr>
      <w:r w:rsidRPr="004B5861">
        <w:lastRenderedPageBreak/>
        <w:t>Statistical</w:t>
      </w:r>
      <w:r w:rsidR="00117AE3" w:rsidRPr="004B5861">
        <w:t xml:space="preserve"> Tables</w:t>
      </w:r>
      <w:r w:rsidR="00A1223F">
        <w:t xml:space="preserve"> </w:t>
      </w:r>
      <w:r w:rsidR="00A1223F">
        <w:tab/>
      </w:r>
    </w:p>
    <w:p w14:paraId="574DB73C" w14:textId="364AE388" w:rsidR="00117AE3" w:rsidRPr="00B45201" w:rsidRDefault="00117AE3" w:rsidP="0089209C">
      <w:pPr>
        <w:pStyle w:val="EcoHeading1"/>
        <w:rPr>
          <w:rFonts w:eastAsia="Calibri"/>
        </w:rPr>
      </w:pPr>
      <w:r w:rsidRPr="0089209C">
        <w:rPr>
          <w:rFonts w:eastAsia="Calibri" w:cs="Arial"/>
          <w:bCs w:val="0"/>
          <w:sz w:val="22"/>
          <w:szCs w:val="22"/>
          <w:lang w:val="en-US"/>
        </w:rPr>
        <w:t xml:space="preserve">Table 1: </w:t>
      </w:r>
      <w:r w:rsidR="00613CF0" w:rsidRPr="0089209C">
        <w:rPr>
          <w:rFonts w:eastAsia="Calibri" w:cs="Arial"/>
          <w:bCs w:val="0"/>
          <w:color w:val="595959"/>
          <w:sz w:val="22"/>
          <w:szCs w:val="22"/>
          <w:lang w:val="en-US"/>
        </w:rPr>
        <w:t>Gross Domestic Product</w:t>
      </w:r>
      <w:r w:rsidRPr="0089209C">
        <w:rPr>
          <w:rFonts w:eastAsia="Calibri" w:cs="Arial"/>
          <w:bCs w:val="0"/>
          <w:color w:val="595959"/>
          <w:sz w:val="22"/>
          <w:szCs w:val="22"/>
          <w:lang w:val="en-US"/>
        </w:rPr>
        <w:t xml:space="preserve"> key statistics</w:t>
      </w:r>
      <w:r w:rsidRPr="00263BBB">
        <w:rPr>
          <w:color w:val="C00000"/>
        </w:rPr>
        <w:t>*</w:t>
      </w:r>
    </w:p>
    <w:tbl>
      <w:tblPr>
        <w:tblStyle w:val="EcoTable"/>
        <w:tblW w:w="11451" w:type="dxa"/>
        <w:tblInd w:w="-1101" w:type="dxa"/>
        <w:tblLook w:val="04A0" w:firstRow="1" w:lastRow="0" w:firstColumn="1" w:lastColumn="0" w:noHBand="0" w:noVBand="1"/>
      </w:tblPr>
      <w:tblGrid>
        <w:gridCol w:w="2823"/>
        <w:gridCol w:w="1068"/>
        <w:gridCol w:w="1080"/>
        <w:gridCol w:w="1080"/>
        <w:gridCol w:w="1080"/>
        <w:gridCol w:w="1080"/>
        <w:gridCol w:w="1080"/>
        <w:gridCol w:w="1080"/>
        <w:gridCol w:w="1080"/>
      </w:tblGrid>
      <w:tr w:rsidR="00184FDF" w:rsidRPr="00B2550C" w14:paraId="0220F26B" w14:textId="77777777" w:rsidTr="00CA4572">
        <w:trPr>
          <w:cnfStyle w:val="100000000000" w:firstRow="1" w:lastRow="0" w:firstColumn="0" w:lastColumn="0" w:oddVBand="0" w:evenVBand="0" w:oddHBand="0" w:evenHBand="0" w:firstRowFirstColumn="0" w:firstRowLastColumn="0" w:lastRowFirstColumn="0" w:lastRowLastColumn="0"/>
          <w:trHeight w:val="425"/>
        </w:trPr>
        <w:tc>
          <w:tcPr>
            <w:tcW w:w="2823" w:type="dxa"/>
            <w:hideMark/>
          </w:tcPr>
          <w:p w14:paraId="74EFBE46" w14:textId="77777777" w:rsidR="00184FDF" w:rsidRPr="00613257" w:rsidRDefault="00184FDF" w:rsidP="00184FDF">
            <w:pPr>
              <w:spacing w:after="0" w:line="240" w:lineRule="auto"/>
              <w:rPr>
                <w:rFonts w:ascii="Arial" w:hAnsi="Arial"/>
                <w:b/>
                <w:bCs/>
                <w:color w:val="FFFFFF"/>
                <w:sz w:val="20"/>
                <w:szCs w:val="20"/>
              </w:rPr>
            </w:pPr>
            <w:r w:rsidRPr="00613257">
              <w:rPr>
                <w:rFonts w:ascii="Arial" w:hAnsi="Arial"/>
                <w:b/>
                <w:bCs/>
                <w:color w:val="FFFFFF"/>
                <w:sz w:val="20"/>
                <w:szCs w:val="20"/>
              </w:rPr>
              <w:t>Production measure</w:t>
            </w:r>
          </w:p>
          <w:p w14:paraId="5B7B4D9D" w14:textId="2C6376BF" w:rsidR="00184FDF" w:rsidRPr="00B2550C" w:rsidRDefault="00184FDF" w:rsidP="00184FDF">
            <w:pPr>
              <w:spacing w:after="0" w:line="240" w:lineRule="auto"/>
              <w:rPr>
                <w:rFonts w:ascii="Arial" w:hAnsi="Arial"/>
                <w:b/>
                <w:bCs/>
                <w:color w:val="FFFFFF"/>
                <w:sz w:val="20"/>
                <w:szCs w:val="20"/>
              </w:rPr>
            </w:pPr>
            <w:r w:rsidRPr="00613257">
              <w:rPr>
                <w:rFonts w:ascii="Arial" w:hAnsi="Arial"/>
                <w:b/>
                <w:bCs/>
                <w:color w:val="FFFFFF"/>
                <w:sz w:val="20"/>
                <w:szCs w:val="20"/>
              </w:rPr>
              <w:t>Seasonally adjusted</w:t>
            </w:r>
          </w:p>
        </w:tc>
        <w:tc>
          <w:tcPr>
            <w:tcW w:w="1068" w:type="dxa"/>
            <w:vAlign w:val="center"/>
          </w:tcPr>
          <w:p w14:paraId="245D718E" w14:textId="39F59059" w:rsidR="00184FDF" w:rsidRPr="00B2550C" w:rsidRDefault="00184FDF" w:rsidP="00691911">
            <w:pPr>
              <w:spacing w:after="0" w:line="240" w:lineRule="auto"/>
              <w:jc w:val="right"/>
              <w:rPr>
                <w:rFonts w:ascii="Arial" w:hAnsi="Arial"/>
                <w:b/>
                <w:bCs/>
                <w:color w:val="FFFFFF"/>
                <w:sz w:val="20"/>
                <w:szCs w:val="20"/>
              </w:rPr>
            </w:pPr>
            <w:r>
              <w:rPr>
                <w:rFonts w:ascii="Tahoma" w:hAnsi="Tahoma" w:cs="Tahoma"/>
                <w:b/>
                <w:bCs/>
                <w:color w:val="FFFFFF"/>
                <w:sz w:val="20"/>
                <w:szCs w:val="20"/>
              </w:rPr>
              <w:t>Q</w:t>
            </w:r>
            <w:r w:rsidR="00691911">
              <w:rPr>
                <w:rFonts w:ascii="Tahoma" w:hAnsi="Tahoma" w:cs="Tahoma"/>
                <w:b/>
                <w:bCs/>
                <w:color w:val="FFFFFF"/>
                <w:sz w:val="20"/>
                <w:szCs w:val="20"/>
              </w:rPr>
              <w:t>2</w:t>
            </w:r>
            <w:r>
              <w:rPr>
                <w:rFonts w:ascii="Tahoma" w:hAnsi="Tahoma" w:cs="Tahoma"/>
                <w:b/>
                <w:bCs/>
                <w:color w:val="FFFFFF"/>
                <w:sz w:val="20"/>
                <w:szCs w:val="20"/>
              </w:rPr>
              <w:t xml:space="preserve"> </w:t>
            </w:r>
            <w:r w:rsidR="00A71A48">
              <w:rPr>
                <w:rFonts w:ascii="Tahoma" w:hAnsi="Tahoma" w:cs="Tahoma"/>
                <w:b/>
                <w:bCs/>
                <w:color w:val="FFFFFF"/>
                <w:sz w:val="20"/>
                <w:szCs w:val="20"/>
              </w:rPr>
              <w:t>201</w:t>
            </w:r>
            <w:r w:rsidR="00691911">
              <w:rPr>
                <w:rFonts w:ascii="Tahoma" w:hAnsi="Tahoma" w:cs="Tahoma"/>
                <w:b/>
                <w:bCs/>
                <w:color w:val="FFFFFF"/>
                <w:sz w:val="20"/>
                <w:szCs w:val="20"/>
              </w:rPr>
              <w:t>7</w:t>
            </w:r>
          </w:p>
        </w:tc>
        <w:tc>
          <w:tcPr>
            <w:tcW w:w="1080" w:type="dxa"/>
            <w:vAlign w:val="center"/>
          </w:tcPr>
          <w:p w14:paraId="2FDA0F2E" w14:textId="7F44A7C9" w:rsidR="00184FDF" w:rsidRPr="00B2550C" w:rsidRDefault="00184FDF" w:rsidP="00691911">
            <w:pPr>
              <w:spacing w:after="0" w:line="240" w:lineRule="auto"/>
              <w:jc w:val="center"/>
              <w:rPr>
                <w:rFonts w:ascii="Arial" w:hAnsi="Arial"/>
                <w:b/>
                <w:bCs/>
                <w:color w:val="FFFFFF"/>
                <w:sz w:val="20"/>
                <w:szCs w:val="20"/>
              </w:rPr>
            </w:pPr>
            <w:r>
              <w:rPr>
                <w:rFonts w:ascii="Tahoma" w:hAnsi="Tahoma" w:cs="Tahoma"/>
                <w:b/>
                <w:bCs/>
                <w:color w:val="FFFFFF"/>
                <w:sz w:val="20"/>
                <w:szCs w:val="20"/>
              </w:rPr>
              <w:t>Q</w:t>
            </w:r>
            <w:r w:rsidR="00691911">
              <w:rPr>
                <w:rFonts w:ascii="Tahoma" w:hAnsi="Tahoma" w:cs="Tahoma"/>
                <w:b/>
                <w:bCs/>
                <w:color w:val="FFFFFF"/>
                <w:sz w:val="20"/>
                <w:szCs w:val="20"/>
              </w:rPr>
              <w:t>3</w:t>
            </w:r>
            <w:r>
              <w:rPr>
                <w:rFonts w:ascii="Tahoma" w:hAnsi="Tahoma" w:cs="Tahoma"/>
                <w:b/>
                <w:bCs/>
                <w:color w:val="FFFFFF"/>
                <w:sz w:val="20"/>
                <w:szCs w:val="20"/>
              </w:rPr>
              <w:t xml:space="preserve"> </w:t>
            </w:r>
            <w:r w:rsidR="00A71A48">
              <w:rPr>
                <w:rFonts w:ascii="Tahoma" w:hAnsi="Tahoma" w:cs="Tahoma"/>
                <w:b/>
                <w:bCs/>
                <w:color w:val="FFFFFF"/>
                <w:sz w:val="20"/>
                <w:szCs w:val="20"/>
              </w:rPr>
              <w:t>201</w:t>
            </w:r>
            <w:r w:rsidR="00691911">
              <w:rPr>
                <w:rFonts w:ascii="Tahoma" w:hAnsi="Tahoma" w:cs="Tahoma"/>
                <w:b/>
                <w:bCs/>
                <w:color w:val="FFFFFF"/>
                <w:sz w:val="20"/>
                <w:szCs w:val="20"/>
              </w:rPr>
              <w:t>7</w:t>
            </w:r>
          </w:p>
        </w:tc>
        <w:tc>
          <w:tcPr>
            <w:tcW w:w="1080" w:type="dxa"/>
            <w:vAlign w:val="center"/>
          </w:tcPr>
          <w:p w14:paraId="5B853332" w14:textId="63DB7C7F" w:rsidR="00184FDF" w:rsidRPr="00B2550C" w:rsidRDefault="00184FDF" w:rsidP="00691911">
            <w:pPr>
              <w:spacing w:after="0" w:line="240" w:lineRule="auto"/>
              <w:jc w:val="center"/>
              <w:rPr>
                <w:rFonts w:ascii="Arial" w:hAnsi="Arial"/>
                <w:b/>
                <w:bCs/>
                <w:color w:val="FFFFFF"/>
                <w:sz w:val="20"/>
                <w:szCs w:val="20"/>
              </w:rPr>
            </w:pPr>
            <w:r>
              <w:rPr>
                <w:rFonts w:ascii="Tahoma" w:hAnsi="Tahoma" w:cs="Tahoma"/>
                <w:b/>
                <w:bCs/>
                <w:color w:val="FFFFFF"/>
                <w:sz w:val="20"/>
                <w:szCs w:val="20"/>
              </w:rPr>
              <w:t>Q</w:t>
            </w:r>
            <w:r w:rsidR="00691911">
              <w:rPr>
                <w:rFonts w:ascii="Tahoma" w:hAnsi="Tahoma" w:cs="Tahoma"/>
                <w:b/>
                <w:bCs/>
                <w:color w:val="FFFFFF"/>
                <w:sz w:val="20"/>
                <w:szCs w:val="20"/>
              </w:rPr>
              <w:t>4</w:t>
            </w:r>
            <w:r>
              <w:rPr>
                <w:rFonts w:ascii="Tahoma" w:hAnsi="Tahoma" w:cs="Tahoma"/>
                <w:b/>
                <w:bCs/>
                <w:color w:val="FFFFFF"/>
                <w:sz w:val="20"/>
                <w:szCs w:val="20"/>
              </w:rPr>
              <w:t xml:space="preserve"> </w:t>
            </w:r>
            <w:r w:rsidR="00A71A48">
              <w:rPr>
                <w:rFonts w:ascii="Tahoma" w:hAnsi="Tahoma" w:cs="Tahoma"/>
                <w:b/>
                <w:bCs/>
                <w:color w:val="FFFFFF"/>
                <w:sz w:val="20"/>
                <w:szCs w:val="20"/>
              </w:rPr>
              <w:t>201</w:t>
            </w:r>
            <w:r w:rsidR="00691911">
              <w:rPr>
                <w:rFonts w:ascii="Tahoma" w:hAnsi="Tahoma" w:cs="Tahoma"/>
                <w:b/>
                <w:bCs/>
                <w:color w:val="FFFFFF"/>
                <w:sz w:val="20"/>
                <w:szCs w:val="20"/>
              </w:rPr>
              <w:t>7</w:t>
            </w:r>
          </w:p>
        </w:tc>
        <w:tc>
          <w:tcPr>
            <w:tcW w:w="1080" w:type="dxa"/>
            <w:vAlign w:val="center"/>
          </w:tcPr>
          <w:p w14:paraId="2009FD0D" w14:textId="235637AB" w:rsidR="00184FDF" w:rsidRPr="00B2550C" w:rsidRDefault="00184FDF" w:rsidP="00691911">
            <w:pPr>
              <w:spacing w:after="0" w:line="240" w:lineRule="auto"/>
              <w:jc w:val="center"/>
              <w:rPr>
                <w:rFonts w:ascii="Arial" w:hAnsi="Arial"/>
                <w:b/>
                <w:bCs/>
                <w:color w:val="FFFFFF"/>
                <w:sz w:val="20"/>
                <w:szCs w:val="20"/>
              </w:rPr>
            </w:pPr>
            <w:r>
              <w:rPr>
                <w:rFonts w:ascii="Tahoma" w:hAnsi="Tahoma" w:cs="Tahoma"/>
                <w:b/>
                <w:bCs/>
                <w:color w:val="FFFFFF"/>
                <w:sz w:val="20"/>
                <w:szCs w:val="20"/>
              </w:rPr>
              <w:t>Q</w:t>
            </w:r>
            <w:r w:rsidR="00691911">
              <w:rPr>
                <w:rFonts w:ascii="Tahoma" w:hAnsi="Tahoma" w:cs="Tahoma"/>
                <w:b/>
                <w:bCs/>
                <w:color w:val="FFFFFF"/>
                <w:sz w:val="20"/>
                <w:szCs w:val="20"/>
              </w:rPr>
              <w:t>1</w:t>
            </w:r>
            <w:r>
              <w:rPr>
                <w:rFonts w:ascii="Tahoma" w:hAnsi="Tahoma" w:cs="Tahoma"/>
                <w:b/>
                <w:bCs/>
                <w:color w:val="FFFFFF"/>
                <w:sz w:val="20"/>
                <w:szCs w:val="20"/>
              </w:rPr>
              <w:t xml:space="preserve"> </w:t>
            </w:r>
            <w:r w:rsidR="00A71A48">
              <w:rPr>
                <w:rFonts w:ascii="Tahoma" w:hAnsi="Tahoma" w:cs="Tahoma"/>
                <w:b/>
                <w:bCs/>
                <w:color w:val="FFFFFF"/>
                <w:sz w:val="20"/>
                <w:szCs w:val="20"/>
              </w:rPr>
              <w:t>2018</w:t>
            </w:r>
          </w:p>
        </w:tc>
        <w:tc>
          <w:tcPr>
            <w:tcW w:w="1080" w:type="dxa"/>
            <w:vAlign w:val="center"/>
          </w:tcPr>
          <w:p w14:paraId="3A3DA72D" w14:textId="5E76F786" w:rsidR="00184FDF" w:rsidRPr="00ED080E" w:rsidRDefault="00184FDF" w:rsidP="00691911">
            <w:pPr>
              <w:spacing w:after="0" w:line="240" w:lineRule="auto"/>
              <w:jc w:val="center"/>
              <w:rPr>
                <w:rFonts w:ascii="Arial" w:hAnsi="Arial"/>
                <w:b/>
                <w:bCs/>
                <w:color w:val="FFFFFF"/>
                <w:sz w:val="20"/>
                <w:szCs w:val="20"/>
              </w:rPr>
            </w:pPr>
            <w:r>
              <w:rPr>
                <w:rFonts w:ascii="Tahoma" w:hAnsi="Tahoma" w:cs="Tahoma"/>
                <w:b/>
                <w:bCs/>
                <w:color w:val="FFFFFF"/>
                <w:sz w:val="20"/>
                <w:szCs w:val="20"/>
              </w:rPr>
              <w:t>Q</w:t>
            </w:r>
            <w:r w:rsidR="00691911">
              <w:rPr>
                <w:rFonts w:ascii="Tahoma" w:hAnsi="Tahoma" w:cs="Tahoma"/>
                <w:b/>
                <w:bCs/>
                <w:color w:val="FFFFFF"/>
                <w:sz w:val="20"/>
                <w:szCs w:val="20"/>
              </w:rPr>
              <w:t>2</w:t>
            </w:r>
            <w:r>
              <w:rPr>
                <w:rFonts w:ascii="Tahoma" w:hAnsi="Tahoma" w:cs="Tahoma"/>
                <w:b/>
                <w:bCs/>
                <w:color w:val="FFFFFF"/>
                <w:sz w:val="20"/>
                <w:szCs w:val="20"/>
              </w:rPr>
              <w:t xml:space="preserve"> </w:t>
            </w:r>
            <w:r w:rsidR="00A71A48">
              <w:rPr>
                <w:rFonts w:ascii="Tahoma" w:hAnsi="Tahoma" w:cs="Tahoma"/>
                <w:b/>
                <w:bCs/>
                <w:color w:val="FFFFFF"/>
                <w:sz w:val="20"/>
                <w:szCs w:val="20"/>
              </w:rPr>
              <w:t>201</w:t>
            </w:r>
            <w:r w:rsidR="00691911">
              <w:rPr>
                <w:rFonts w:ascii="Tahoma" w:hAnsi="Tahoma" w:cs="Tahoma"/>
                <w:b/>
                <w:bCs/>
                <w:color w:val="FFFFFF"/>
                <w:sz w:val="20"/>
                <w:szCs w:val="20"/>
              </w:rPr>
              <w:t>8</w:t>
            </w:r>
          </w:p>
        </w:tc>
        <w:tc>
          <w:tcPr>
            <w:tcW w:w="1080" w:type="dxa"/>
            <w:vAlign w:val="center"/>
          </w:tcPr>
          <w:p w14:paraId="6A433FD0" w14:textId="3E3BAF4A" w:rsidR="00184FDF" w:rsidRPr="00ED080E" w:rsidRDefault="00184FDF" w:rsidP="00691911">
            <w:pPr>
              <w:spacing w:after="0" w:line="240" w:lineRule="auto"/>
              <w:jc w:val="center"/>
              <w:rPr>
                <w:rFonts w:ascii="Arial" w:hAnsi="Arial"/>
                <w:b/>
                <w:bCs/>
                <w:color w:val="FFFFFF"/>
                <w:sz w:val="20"/>
                <w:szCs w:val="20"/>
              </w:rPr>
            </w:pPr>
            <w:r>
              <w:rPr>
                <w:rFonts w:ascii="Tahoma" w:hAnsi="Tahoma" w:cs="Tahoma"/>
                <w:b/>
                <w:bCs/>
                <w:color w:val="FFFFFF"/>
                <w:sz w:val="20"/>
                <w:szCs w:val="20"/>
              </w:rPr>
              <w:t>Q</w:t>
            </w:r>
            <w:r w:rsidR="00691911">
              <w:rPr>
                <w:rFonts w:ascii="Tahoma" w:hAnsi="Tahoma" w:cs="Tahoma"/>
                <w:b/>
                <w:bCs/>
                <w:color w:val="FFFFFF"/>
                <w:sz w:val="20"/>
                <w:szCs w:val="20"/>
              </w:rPr>
              <w:t>3</w:t>
            </w:r>
            <w:r>
              <w:rPr>
                <w:rFonts w:ascii="Tahoma" w:hAnsi="Tahoma" w:cs="Tahoma"/>
                <w:b/>
                <w:bCs/>
                <w:color w:val="FFFFFF"/>
                <w:sz w:val="20"/>
                <w:szCs w:val="20"/>
              </w:rPr>
              <w:t xml:space="preserve"> </w:t>
            </w:r>
            <w:r w:rsidR="00A71A48">
              <w:rPr>
                <w:rFonts w:ascii="Tahoma" w:hAnsi="Tahoma" w:cs="Tahoma"/>
                <w:b/>
                <w:bCs/>
                <w:color w:val="FFFFFF"/>
                <w:sz w:val="20"/>
                <w:szCs w:val="20"/>
              </w:rPr>
              <w:t>201</w:t>
            </w:r>
            <w:r w:rsidR="00691911">
              <w:rPr>
                <w:rFonts w:ascii="Tahoma" w:hAnsi="Tahoma" w:cs="Tahoma"/>
                <w:b/>
                <w:bCs/>
                <w:color w:val="FFFFFF"/>
                <w:sz w:val="20"/>
                <w:szCs w:val="20"/>
              </w:rPr>
              <w:t>8</w:t>
            </w:r>
          </w:p>
        </w:tc>
        <w:tc>
          <w:tcPr>
            <w:tcW w:w="1080" w:type="dxa"/>
            <w:vAlign w:val="center"/>
          </w:tcPr>
          <w:p w14:paraId="30F3FFEE" w14:textId="2A98D6B9" w:rsidR="00184FDF" w:rsidRPr="00ED080E" w:rsidRDefault="00184FDF" w:rsidP="00691911">
            <w:pPr>
              <w:spacing w:after="0" w:line="240" w:lineRule="auto"/>
              <w:jc w:val="center"/>
              <w:rPr>
                <w:rFonts w:ascii="Arial" w:hAnsi="Arial"/>
                <w:b/>
                <w:bCs/>
                <w:color w:val="FFFFFF"/>
                <w:sz w:val="20"/>
                <w:szCs w:val="20"/>
              </w:rPr>
            </w:pPr>
            <w:r>
              <w:rPr>
                <w:rFonts w:ascii="Tahoma" w:hAnsi="Tahoma" w:cs="Tahoma"/>
                <w:b/>
                <w:bCs/>
                <w:color w:val="FFFFFF"/>
                <w:sz w:val="20"/>
                <w:szCs w:val="20"/>
              </w:rPr>
              <w:t>Q</w:t>
            </w:r>
            <w:r w:rsidR="00691911">
              <w:rPr>
                <w:rFonts w:ascii="Tahoma" w:hAnsi="Tahoma" w:cs="Tahoma"/>
                <w:b/>
                <w:bCs/>
                <w:color w:val="FFFFFF"/>
                <w:sz w:val="20"/>
                <w:szCs w:val="20"/>
              </w:rPr>
              <w:t>4</w:t>
            </w:r>
            <w:r>
              <w:rPr>
                <w:rFonts w:ascii="Tahoma" w:hAnsi="Tahoma" w:cs="Tahoma"/>
                <w:b/>
                <w:bCs/>
                <w:color w:val="FFFFFF"/>
                <w:sz w:val="20"/>
                <w:szCs w:val="20"/>
              </w:rPr>
              <w:t xml:space="preserve"> </w:t>
            </w:r>
            <w:r w:rsidR="00A71A48">
              <w:rPr>
                <w:rFonts w:ascii="Tahoma" w:hAnsi="Tahoma" w:cs="Tahoma"/>
                <w:b/>
                <w:bCs/>
                <w:color w:val="FFFFFF"/>
                <w:sz w:val="20"/>
                <w:szCs w:val="20"/>
              </w:rPr>
              <w:t>201</w:t>
            </w:r>
            <w:r w:rsidR="00691911">
              <w:rPr>
                <w:rFonts w:ascii="Tahoma" w:hAnsi="Tahoma" w:cs="Tahoma"/>
                <w:b/>
                <w:bCs/>
                <w:color w:val="FFFFFF"/>
                <w:sz w:val="20"/>
                <w:szCs w:val="20"/>
              </w:rPr>
              <w:t>8</w:t>
            </w:r>
          </w:p>
        </w:tc>
        <w:tc>
          <w:tcPr>
            <w:tcW w:w="1080" w:type="dxa"/>
            <w:vAlign w:val="center"/>
          </w:tcPr>
          <w:p w14:paraId="1BAE207C" w14:textId="30B00741" w:rsidR="00184FDF" w:rsidRPr="00ED080E" w:rsidRDefault="00184FDF" w:rsidP="00691911">
            <w:pPr>
              <w:spacing w:after="0" w:line="240" w:lineRule="auto"/>
              <w:jc w:val="center"/>
              <w:rPr>
                <w:rFonts w:ascii="Arial" w:hAnsi="Arial"/>
                <w:b/>
                <w:bCs/>
                <w:color w:val="FFFFFF"/>
                <w:sz w:val="20"/>
                <w:szCs w:val="20"/>
              </w:rPr>
            </w:pPr>
            <w:r>
              <w:rPr>
                <w:rFonts w:ascii="Tahoma" w:hAnsi="Tahoma" w:cs="Tahoma"/>
                <w:b/>
                <w:bCs/>
                <w:color w:val="FFFFFF"/>
                <w:sz w:val="20"/>
                <w:szCs w:val="20"/>
              </w:rPr>
              <w:t>Q</w:t>
            </w:r>
            <w:r w:rsidR="00691911">
              <w:rPr>
                <w:rFonts w:ascii="Tahoma" w:hAnsi="Tahoma" w:cs="Tahoma"/>
                <w:b/>
                <w:bCs/>
                <w:color w:val="FFFFFF"/>
                <w:sz w:val="20"/>
                <w:szCs w:val="20"/>
              </w:rPr>
              <w:t>1</w:t>
            </w:r>
            <w:r>
              <w:rPr>
                <w:rFonts w:ascii="Tahoma" w:hAnsi="Tahoma" w:cs="Tahoma"/>
                <w:b/>
                <w:bCs/>
                <w:color w:val="FFFFFF"/>
                <w:sz w:val="20"/>
                <w:szCs w:val="20"/>
              </w:rPr>
              <w:t xml:space="preserve"> </w:t>
            </w:r>
            <w:r w:rsidR="00A71A48">
              <w:rPr>
                <w:rFonts w:ascii="Tahoma" w:hAnsi="Tahoma" w:cs="Tahoma"/>
                <w:b/>
                <w:bCs/>
                <w:color w:val="FFFFFF"/>
                <w:sz w:val="20"/>
                <w:szCs w:val="20"/>
              </w:rPr>
              <w:t>2019</w:t>
            </w:r>
          </w:p>
        </w:tc>
      </w:tr>
      <w:tr w:rsidR="00691911" w:rsidRPr="00B2550C" w14:paraId="1350F75F" w14:textId="77777777" w:rsidTr="00F7014D">
        <w:trPr>
          <w:trHeight w:val="400"/>
        </w:trPr>
        <w:tc>
          <w:tcPr>
            <w:tcW w:w="2823" w:type="dxa"/>
            <w:hideMark/>
          </w:tcPr>
          <w:p w14:paraId="45009D48" w14:textId="33923DE0" w:rsidR="00691911" w:rsidRPr="00B45201" w:rsidRDefault="00691911" w:rsidP="00691911">
            <w:pPr>
              <w:spacing w:after="120" w:line="240" w:lineRule="auto"/>
              <w:rPr>
                <w:rFonts w:asciiTheme="majorHAnsi" w:hAnsiTheme="majorHAnsi" w:cstheme="majorHAnsi"/>
                <w:sz w:val="18"/>
                <w:szCs w:val="18"/>
              </w:rPr>
            </w:pPr>
            <w:r w:rsidRPr="00B45201">
              <w:rPr>
                <w:rFonts w:asciiTheme="majorHAnsi" w:hAnsiTheme="majorHAnsi" w:cstheme="majorHAnsi"/>
                <w:sz w:val="18"/>
                <w:szCs w:val="18"/>
              </w:rPr>
              <w:t>GDP at current prices (million AED)</w:t>
            </w:r>
          </w:p>
        </w:tc>
        <w:tc>
          <w:tcPr>
            <w:tcW w:w="1068" w:type="dxa"/>
            <w:tcBorders>
              <w:top w:val="nil"/>
              <w:left w:val="nil"/>
              <w:bottom w:val="single" w:sz="8" w:space="0" w:color="D9D9D9"/>
              <w:right w:val="nil"/>
            </w:tcBorders>
            <w:shd w:val="clear" w:color="auto" w:fill="auto"/>
            <w:vAlign w:val="center"/>
          </w:tcPr>
          <w:p w14:paraId="439EA5A8" w14:textId="423EC212"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196,833</w:t>
            </w:r>
          </w:p>
        </w:tc>
        <w:tc>
          <w:tcPr>
            <w:tcW w:w="1080" w:type="dxa"/>
            <w:tcBorders>
              <w:top w:val="nil"/>
              <w:left w:val="nil"/>
              <w:bottom w:val="single" w:sz="8" w:space="0" w:color="D9D9D9"/>
              <w:right w:val="nil"/>
            </w:tcBorders>
            <w:shd w:val="clear" w:color="auto" w:fill="auto"/>
            <w:vAlign w:val="center"/>
          </w:tcPr>
          <w:p w14:paraId="3845E7FC" w14:textId="541AF3A5"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201,523</w:t>
            </w:r>
          </w:p>
        </w:tc>
        <w:tc>
          <w:tcPr>
            <w:tcW w:w="1080" w:type="dxa"/>
            <w:tcBorders>
              <w:top w:val="nil"/>
              <w:left w:val="nil"/>
              <w:bottom w:val="single" w:sz="8" w:space="0" w:color="D9D9D9"/>
              <w:right w:val="nil"/>
            </w:tcBorders>
            <w:shd w:val="clear" w:color="auto" w:fill="auto"/>
            <w:vAlign w:val="center"/>
          </w:tcPr>
          <w:p w14:paraId="6CE19319" w14:textId="46A90289"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215,196</w:t>
            </w:r>
          </w:p>
        </w:tc>
        <w:tc>
          <w:tcPr>
            <w:tcW w:w="1080" w:type="dxa"/>
            <w:tcBorders>
              <w:top w:val="nil"/>
              <w:left w:val="nil"/>
              <w:bottom w:val="single" w:sz="8" w:space="0" w:color="D9D9D9"/>
              <w:right w:val="nil"/>
            </w:tcBorders>
            <w:shd w:val="clear" w:color="auto" w:fill="auto"/>
            <w:vAlign w:val="center"/>
          </w:tcPr>
          <w:p w14:paraId="24D51D25" w14:textId="2AABB7C6"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218,918</w:t>
            </w:r>
          </w:p>
        </w:tc>
        <w:tc>
          <w:tcPr>
            <w:tcW w:w="1080" w:type="dxa"/>
            <w:tcBorders>
              <w:top w:val="nil"/>
              <w:left w:val="nil"/>
              <w:bottom w:val="single" w:sz="8" w:space="0" w:color="D9D9D9"/>
              <w:right w:val="nil"/>
            </w:tcBorders>
            <w:shd w:val="clear" w:color="auto" w:fill="auto"/>
            <w:vAlign w:val="center"/>
          </w:tcPr>
          <w:p w14:paraId="1ECBE00C" w14:textId="1981D4A8"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231,665</w:t>
            </w:r>
          </w:p>
        </w:tc>
        <w:tc>
          <w:tcPr>
            <w:tcW w:w="1080" w:type="dxa"/>
            <w:tcBorders>
              <w:top w:val="nil"/>
              <w:left w:val="nil"/>
              <w:bottom w:val="single" w:sz="8" w:space="0" w:color="D9D9D9"/>
              <w:right w:val="nil"/>
            </w:tcBorders>
            <w:shd w:val="clear" w:color="auto" w:fill="auto"/>
            <w:vAlign w:val="center"/>
          </w:tcPr>
          <w:p w14:paraId="0E5EEA67" w14:textId="22AA6B81"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237,547</w:t>
            </w:r>
          </w:p>
        </w:tc>
        <w:tc>
          <w:tcPr>
            <w:tcW w:w="1080" w:type="dxa"/>
            <w:tcBorders>
              <w:top w:val="nil"/>
              <w:left w:val="nil"/>
              <w:bottom w:val="single" w:sz="8" w:space="0" w:color="D9D9D9"/>
              <w:right w:val="nil"/>
            </w:tcBorders>
            <w:shd w:val="clear" w:color="auto" w:fill="auto"/>
            <w:vAlign w:val="center"/>
          </w:tcPr>
          <w:p w14:paraId="6A53342D" w14:textId="194E9184"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242,904</w:t>
            </w:r>
          </w:p>
        </w:tc>
        <w:tc>
          <w:tcPr>
            <w:tcW w:w="1080" w:type="dxa"/>
            <w:tcBorders>
              <w:top w:val="nil"/>
              <w:left w:val="nil"/>
              <w:bottom w:val="single" w:sz="8" w:space="0" w:color="D9D9D9"/>
              <w:right w:val="nil"/>
            </w:tcBorders>
            <w:shd w:val="clear" w:color="auto" w:fill="auto"/>
            <w:vAlign w:val="center"/>
          </w:tcPr>
          <w:p w14:paraId="15059C7C" w14:textId="51D29110"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226,039</w:t>
            </w:r>
          </w:p>
        </w:tc>
      </w:tr>
      <w:tr w:rsidR="00691911" w:rsidRPr="00B2550C" w14:paraId="48AED1D0" w14:textId="77777777" w:rsidTr="00F7014D">
        <w:trPr>
          <w:trHeight w:val="400"/>
        </w:trPr>
        <w:tc>
          <w:tcPr>
            <w:tcW w:w="2823" w:type="dxa"/>
            <w:hideMark/>
          </w:tcPr>
          <w:p w14:paraId="242EC570" w14:textId="77777777" w:rsidR="00691911" w:rsidRPr="00B45201" w:rsidRDefault="00691911" w:rsidP="00691911">
            <w:pPr>
              <w:spacing w:after="120" w:line="240" w:lineRule="auto"/>
              <w:rPr>
                <w:rFonts w:asciiTheme="majorHAnsi" w:hAnsiTheme="majorHAnsi" w:cstheme="majorHAnsi"/>
                <w:strike/>
                <w:sz w:val="18"/>
                <w:szCs w:val="18"/>
                <w:highlight w:val="yellow"/>
              </w:rPr>
            </w:pPr>
            <w:r w:rsidRPr="00B45201">
              <w:rPr>
                <w:rFonts w:asciiTheme="majorHAnsi" w:hAnsiTheme="majorHAnsi" w:cstheme="majorHAnsi"/>
                <w:sz w:val="18"/>
                <w:szCs w:val="18"/>
              </w:rPr>
              <w:t>Oil value added at current prices (million AED)</w:t>
            </w:r>
          </w:p>
        </w:tc>
        <w:tc>
          <w:tcPr>
            <w:tcW w:w="1068" w:type="dxa"/>
            <w:tcBorders>
              <w:top w:val="nil"/>
              <w:left w:val="nil"/>
              <w:bottom w:val="single" w:sz="8" w:space="0" w:color="D9D9D9"/>
              <w:right w:val="nil"/>
            </w:tcBorders>
            <w:shd w:val="clear" w:color="auto" w:fill="auto"/>
            <w:vAlign w:val="center"/>
          </w:tcPr>
          <w:p w14:paraId="31592FEE" w14:textId="76312EB8"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64,614</w:t>
            </w:r>
          </w:p>
        </w:tc>
        <w:tc>
          <w:tcPr>
            <w:tcW w:w="1080" w:type="dxa"/>
            <w:tcBorders>
              <w:top w:val="nil"/>
              <w:left w:val="nil"/>
              <w:bottom w:val="single" w:sz="8" w:space="0" w:color="D9D9D9"/>
              <w:right w:val="nil"/>
            </w:tcBorders>
            <w:shd w:val="clear" w:color="auto" w:fill="auto"/>
            <w:vAlign w:val="center"/>
          </w:tcPr>
          <w:p w14:paraId="459099EC" w14:textId="6C734034"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67,110</w:t>
            </w:r>
          </w:p>
        </w:tc>
        <w:tc>
          <w:tcPr>
            <w:tcW w:w="1080" w:type="dxa"/>
            <w:tcBorders>
              <w:top w:val="nil"/>
              <w:left w:val="nil"/>
              <w:bottom w:val="single" w:sz="8" w:space="0" w:color="D9D9D9"/>
              <w:right w:val="nil"/>
            </w:tcBorders>
            <w:shd w:val="clear" w:color="auto" w:fill="auto"/>
            <w:vAlign w:val="center"/>
          </w:tcPr>
          <w:p w14:paraId="576DD21E" w14:textId="03CE116F"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77,252</w:t>
            </w:r>
          </w:p>
        </w:tc>
        <w:tc>
          <w:tcPr>
            <w:tcW w:w="1080" w:type="dxa"/>
            <w:tcBorders>
              <w:top w:val="nil"/>
              <w:left w:val="nil"/>
              <w:bottom w:val="single" w:sz="8" w:space="0" w:color="D9D9D9"/>
              <w:right w:val="nil"/>
            </w:tcBorders>
            <w:shd w:val="clear" w:color="auto" w:fill="auto"/>
            <w:vAlign w:val="center"/>
          </w:tcPr>
          <w:p w14:paraId="2B22AB81" w14:textId="1D3CEA7C"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80,604</w:t>
            </w:r>
          </w:p>
        </w:tc>
        <w:tc>
          <w:tcPr>
            <w:tcW w:w="1080" w:type="dxa"/>
            <w:tcBorders>
              <w:top w:val="nil"/>
              <w:left w:val="nil"/>
              <w:bottom w:val="single" w:sz="8" w:space="0" w:color="D9D9D9"/>
              <w:right w:val="nil"/>
            </w:tcBorders>
            <w:shd w:val="clear" w:color="auto" w:fill="auto"/>
            <w:vAlign w:val="center"/>
          </w:tcPr>
          <w:p w14:paraId="6C1A4F33" w14:textId="1F3697AC"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92,331</w:t>
            </w:r>
          </w:p>
        </w:tc>
        <w:tc>
          <w:tcPr>
            <w:tcW w:w="1080" w:type="dxa"/>
            <w:tcBorders>
              <w:top w:val="nil"/>
              <w:left w:val="nil"/>
              <w:bottom w:val="single" w:sz="8" w:space="0" w:color="D9D9D9"/>
              <w:right w:val="nil"/>
            </w:tcBorders>
            <w:shd w:val="clear" w:color="auto" w:fill="auto"/>
            <w:vAlign w:val="center"/>
          </w:tcPr>
          <w:p w14:paraId="485D417A" w14:textId="2739CA60"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100,254</w:t>
            </w:r>
          </w:p>
        </w:tc>
        <w:tc>
          <w:tcPr>
            <w:tcW w:w="1080" w:type="dxa"/>
            <w:tcBorders>
              <w:top w:val="nil"/>
              <w:left w:val="nil"/>
              <w:bottom w:val="single" w:sz="8" w:space="0" w:color="D9D9D9"/>
              <w:right w:val="nil"/>
            </w:tcBorders>
            <w:shd w:val="clear" w:color="auto" w:fill="auto"/>
            <w:vAlign w:val="center"/>
          </w:tcPr>
          <w:p w14:paraId="3CA5B92A" w14:textId="2A4311FE"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102,746</w:t>
            </w:r>
          </w:p>
        </w:tc>
        <w:tc>
          <w:tcPr>
            <w:tcW w:w="1080" w:type="dxa"/>
            <w:tcBorders>
              <w:top w:val="nil"/>
              <w:left w:val="nil"/>
              <w:bottom w:val="single" w:sz="8" w:space="0" w:color="D9D9D9"/>
              <w:right w:val="nil"/>
            </w:tcBorders>
            <w:shd w:val="clear" w:color="auto" w:fill="auto"/>
            <w:vAlign w:val="center"/>
          </w:tcPr>
          <w:p w14:paraId="3CBD63EA" w14:textId="1613F7E5"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89,918</w:t>
            </w:r>
          </w:p>
        </w:tc>
      </w:tr>
      <w:tr w:rsidR="00691911" w:rsidRPr="00B2550C" w14:paraId="7B86B355" w14:textId="77777777" w:rsidTr="00F7014D">
        <w:trPr>
          <w:trHeight w:val="595"/>
        </w:trPr>
        <w:tc>
          <w:tcPr>
            <w:tcW w:w="2823" w:type="dxa"/>
            <w:hideMark/>
          </w:tcPr>
          <w:p w14:paraId="75B3EF2D" w14:textId="77777777" w:rsidR="00691911" w:rsidRPr="00B45201" w:rsidRDefault="00691911" w:rsidP="00691911">
            <w:pPr>
              <w:spacing w:after="120" w:line="240" w:lineRule="auto"/>
              <w:rPr>
                <w:rFonts w:asciiTheme="majorHAnsi" w:hAnsiTheme="majorHAnsi" w:cstheme="majorHAnsi"/>
                <w:strike/>
                <w:sz w:val="18"/>
                <w:szCs w:val="18"/>
                <w:highlight w:val="yellow"/>
              </w:rPr>
            </w:pPr>
            <w:r w:rsidRPr="00B45201">
              <w:rPr>
                <w:rFonts w:asciiTheme="majorHAnsi" w:hAnsiTheme="majorHAnsi" w:cstheme="majorHAnsi"/>
                <w:sz w:val="18"/>
                <w:szCs w:val="18"/>
              </w:rPr>
              <w:t>Oil value added at current prices (% contribution to total)</w:t>
            </w:r>
          </w:p>
        </w:tc>
        <w:tc>
          <w:tcPr>
            <w:tcW w:w="1068" w:type="dxa"/>
            <w:tcBorders>
              <w:top w:val="nil"/>
              <w:left w:val="nil"/>
              <w:bottom w:val="single" w:sz="8" w:space="0" w:color="D9D9D9"/>
              <w:right w:val="nil"/>
            </w:tcBorders>
            <w:shd w:val="clear" w:color="auto" w:fill="auto"/>
            <w:vAlign w:val="center"/>
          </w:tcPr>
          <w:p w14:paraId="12EB90A7" w14:textId="6A160354"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32.8</w:t>
            </w:r>
          </w:p>
        </w:tc>
        <w:tc>
          <w:tcPr>
            <w:tcW w:w="1080" w:type="dxa"/>
            <w:tcBorders>
              <w:top w:val="nil"/>
              <w:left w:val="nil"/>
              <w:bottom w:val="single" w:sz="8" w:space="0" w:color="D9D9D9"/>
              <w:right w:val="nil"/>
            </w:tcBorders>
            <w:shd w:val="clear" w:color="auto" w:fill="auto"/>
            <w:vAlign w:val="center"/>
          </w:tcPr>
          <w:p w14:paraId="72192185" w14:textId="0742E883"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33.3</w:t>
            </w:r>
          </w:p>
        </w:tc>
        <w:tc>
          <w:tcPr>
            <w:tcW w:w="1080" w:type="dxa"/>
            <w:tcBorders>
              <w:top w:val="nil"/>
              <w:left w:val="nil"/>
              <w:bottom w:val="single" w:sz="8" w:space="0" w:color="D9D9D9"/>
              <w:right w:val="nil"/>
            </w:tcBorders>
            <w:shd w:val="clear" w:color="auto" w:fill="auto"/>
            <w:vAlign w:val="center"/>
          </w:tcPr>
          <w:p w14:paraId="4927D6C3" w14:textId="73EBBEF5"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35.9</w:t>
            </w:r>
          </w:p>
        </w:tc>
        <w:tc>
          <w:tcPr>
            <w:tcW w:w="1080" w:type="dxa"/>
            <w:tcBorders>
              <w:top w:val="nil"/>
              <w:left w:val="nil"/>
              <w:bottom w:val="single" w:sz="8" w:space="0" w:color="D9D9D9"/>
              <w:right w:val="nil"/>
            </w:tcBorders>
            <w:shd w:val="clear" w:color="auto" w:fill="auto"/>
            <w:vAlign w:val="center"/>
          </w:tcPr>
          <w:p w14:paraId="1866E2F7" w14:textId="2B6DB174"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36.8</w:t>
            </w:r>
          </w:p>
        </w:tc>
        <w:tc>
          <w:tcPr>
            <w:tcW w:w="1080" w:type="dxa"/>
            <w:tcBorders>
              <w:top w:val="nil"/>
              <w:left w:val="nil"/>
              <w:bottom w:val="single" w:sz="8" w:space="0" w:color="D9D9D9"/>
              <w:right w:val="nil"/>
            </w:tcBorders>
            <w:shd w:val="clear" w:color="auto" w:fill="auto"/>
            <w:vAlign w:val="center"/>
          </w:tcPr>
          <w:p w14:paraId="3E1DD554" w14:textId="12449ED2"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39.9</w:t>
            </w:r>
          </w:p>
        </w:tc>
        <w:tc>
          <w:tcPr>
            <w:tcW w:w="1080" w:type="dxa"/>
            <w:tcBorders>
              <w:top w:val="nil"/>
              <w:left w:val="nil"/>
              <w:bottom w:val="single" w:sz="8" w:space="0" w:color="D9D9D9"/>
              <w:right w:val="nil"/>
            </w:tcBorders>
            <w:shd w:val="clear" w:color="auto" w:fill="auto"/>
            <w:vAlign w:val="center"/>
          </w:tcPr>
          <w:p w14:paraId="198DC8D1" w14:textId="6C2931D8"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42.2</w:t>
            </w:r>
          </w:p>
        </w:tc>
        <w:tc>
          <w:tcPr>
            <w:tcW w:w="1080" w:type="dxa"/>
            <w:tcBorders>
              <w:top w:val="nil"/>
              <w:left w:val="nil"/>
              <w:bottom w:val="single" w:sz="8" w:space="0" w:color="D9D9D9"/>
              <w:right w:val="nil"/>
            </w:tcBorders>
            <w:shd w:val="clear" w:color="auto" w:fill="auto"/>
            <w:vAlign w:val="center"/>
          </w:tcPr>
          <w:p w14:paraId="6F5DB079" w14:textId="1B1A373C"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42.3</w:t>
            </w:r>
          </w:p>
        </w:tc>
        <w:tc>
          <w:tcPr>
            <w:tcW w:w="1080" w:type="dxa"/>
            <w:tcBorders>
              <w:top w:val="nil"/>
              <w:left w:val="nil"/>
              <w:bottom w:val="single" w:sz="8" w:space="0" w:color="D9D9D9"/>
              <w:right w:val="nil"/>
            </w:tcBorders>
            <w:shd w:val="clear" w:color="auto" w:fill="auto"/>
            <w:vAlign w:val="center"/>
          </w:tcPr>
          <w:p w14:paraId="7847F4C9" w14:textId="1719C0F2"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39.8</w:t>
            </w:r>
          </w:p>
        </w:tc>
      </w:tr>
      <w:tr w:rsidR="00691911" w:rsidRPr="00B2550C" w14:paraId="7CE70415" w14:textId="77777777" w:rsidTr="00F7014D">
        <w:trPr>
          <w:trHeight w:val="595"/>
        </w:trPr>
        <w:tc>
          <w:tcPr>
            <w:tcW w:w="2823" w:type="dxa"/>
            <w:hideMark/>
          </w:tcPr>
          <w:p w14:paraId="799ACEDE" w14:textId="77777777" w:rsidR="00691911" w:rsidRPr="00B45201" w:rsidRDefault="00691911" w:rsidP="00691911">
            <w:pPr>
              <w:spacing w:after="120" w:line="240" w:lineRule="auto"/>
              <w:rPr>
                <w:rFonts w:asciiTheme="majorHAnsi" w:hAnsiTheme="majorHAnsi" w:cstheme="majorHAnsi"/>
                <w:sz w:val="18"/>
                <w:szCs w:val="18"/>
              </w:rPr>
            </w:pPr>
            <w:r w:rsidRPr="00B45201">
              <w:rPr>
                <w:rFonts w:asciiTheme="majorHAnsi" w:hAnsiTheme="majorHAnsi" w:cstheme="majorHAnsi"/>
                <w:sz w:val="18"/>
                <w:szCs w:val="18"/>
              </w:rPr>
              <w:t>Non-oil value added at current prices (million AED)</w:t>
            </w:r>
          </w:p>
        </w:tc>
        <w:tc>
          <w:tcPr>
            <w:tcW w:w="1068" w:type="dxa"/>
            <w:tcBorders>
              <w:top w:val="nil"/>
              <w:left w:val="nil"/>
              <w:bottom w:val="single" w:sz="8" w:space="0" w:color="D9D9D9"/>
              <w:right w:val="nil"/>
            </w:tcBorders>
            <w:shd w:val="clear" w:color="auto" w:fill="auto"/>
            <w:vAlign w:val="center"/>
          </w:tcPr>
          <w:p w14:paraId="42FF18C1" w14:textId="57C5B2CA"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132,219</w:t>
            </w:r>
          </w:p>
        </w:tc>
        <w:tc>
          <w:tcPr>
            <w:tcW w:w="1080" w:type="dxa"/>
            <w:tcBorders>
              <w:top w:val="nil"/>
              <w:left w:val="nil"/>
              <w:bottom w:val="single" w:sz="8" w:space="0" w:color="D9D9D9"/>
              <w:right w:val="nil"/>
            </w:tcBorders>
            <w:shd w:val="clear" w:color="auto" w:fill="auto"/>
            <w:vAlign w:val="center"/>
          </w:tcPr>
          <w:p w14:paraId="4F657290" w14:textId="10607A53"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134,414</w:t>
            </w:r>
          </w:p>
        </w:tc>
        <w:tc>
          <w:tcPr>
            <w:tcW w:w="1080" w:type="dxa"/>
            <w:tcBorders>
              <w:top w:val="nil"/>
              <w:left w:val="nil"/>
              <w:bottom w:val="single" w:sz="8" w:space="0" w:color="D9D9D9"/>
              <w:right w:val="nil"/>
            </w:tcBorders>
            <w:shd w:val="clear" w:color="auto" w:fill="auto"/>
            <w:vAlign w:val="center"/>
          </w:tcPr>
          <w:p w14:paraId="01E8DEF9" w14:textId="4D6F4EF3"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137,944</w:t>
            </w:r>
          </w:p>
        </w:tc>
        <w:tc>
          <w:tcPr>
            <w:tcW w:w="1080" w:type="dxa"/>
            <w:tcBorders>
              <w:top w:val="nil"/>
              <w:left w:val="nil"/>
              <w:bottom w:val="single" w:sz="8" w:space="0" w:color="D9D9D9"/>
              <w:right w:val="nil"/>
            </w:tcBorders>
            <w:shd w:val="clear" w:color="auto" w:fill="auto"/>
            <w:vAlign w:val="center"/>
          </w:tcPr>
          <w:p w14:paraId="5DBEB612" w14:textId="76850884"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138,314</w:t>
            </w:r>
          </w:p>
        </w:tc>
        <w:tc>
          <w:tcPr>
            <w:tcW w:w="1080" w:type="dxa"/>
            <w:tcBorders>
              <w:top w:val="nil"/>
              <w:left w:val="nil"/>
              <w:bottom w:val="single" w:sz="8" w:space="0" w:color="D9D9D9"/>
              <w:right w:val="nil"/>
            </w:tcBorders>
            <w:shd w:val="clear" w:color="auto" w:fill="auto"/>
            <w:vAlign w:val="center"/>
          </w:tcPr>
          <w:p w14:paraId="785BB28B" w14:textId="109F44F0"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139,335</w:t>
            </w:r>
          </w:p>
        </w:tc>
        <w:tc>
          <w:tcPr>
            <w:tcW w:w="1080" w:type="dxa"/>
            <w:tcBorders>
              <w:top w:val="nil"/>
              <w:left w:val="nil"/>
              <w:bottom w:val="single" w:sz="8" w:space="0" w:color="D9D9D9"/>
              <w:right w:val="nil"/>
            </w:tcBorders>
            <w:shd w:val="clear" w:color="auto" w:fill="auto"/>
            <w:vAlign w:val="center"/>
          </w:tcPr>
          <w:p w14:paraId="70DD85D0" w14:textId="13870EFA"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137,293</w:t>
            </w:r>
          </w:p>
        </w:tc>
        <w:tc>
          <w:tcPr>
            <w:tcW w:w="1080" w:type="dxa"/>
            <w:tcBorders>
              <w:top w:val="nil"/>
              <w:left w:val="nil"/>
              <w:bottom w:val="single" w:sz="8" w:space="0" w:color="D9D9D9"/>
              <w:right w:val="nil"/>
            </w:tcBorders>
            <w:shd w:val="clear" w:color="auto" w:fill="auto"/>
            <w:vAlign w:val="center"/>
          </w:tcPr>
          <w:p w14:paraId="7D637E8F" w14:textId="6A9FD8C5"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140,158</w:t>
            </w:r>
          </w:p>
        </w:tc>
        <w:tc>
          <w:tcPr>
            <w:tcW w:w="1080" w:type="dxa"/>
            <w:tcBorders>
              <w:top w:val="nil"/>
              <w:left w:val="nil"/>
              <w:bottom w:val="single" w:sz="8" w:space="0" w:color="D9D9D9"/>
              <w:right w:val="nil"/>
            </w:tcBorders>
            <w:shd w:val="clear" w:color="auto" w:fill="auto"/>
            <w:vAlign w:val="center"/>
          </w:tcPr>
          <w:p w14:paraId="6CFB39D8" w14:textId="520BB298"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136,121</w:t>
            </w:r>
          </w:p>
        </w:tc>
      </w:tr>
      <w:tr w:rsidR="00691911" w:rsidRPr="00B2550C" w14:paraId="6D2CD1E3" w14:textId="77777777" w:rsidTr="00F7014D">
        <w:trPr>
          <w:trHeight w:val="595"/>
        </w:trPr>
        <w:tc>
          <w:tcPr>
            <w:tcW w:w="2823" w:type="dxa"/>
            <w:hideMark/>
          </w:tcPr>
          <w:p w14:paraId="45949A22" w14:textId="77777777" w:rsidR="00691911" w:rsidRPr="00B45201" w:rsidRDefault="00691911" w:rsidP="00691911">
            <w:pPr>
              <w:spacing w:after="120" w:line="240" w:lineRule="auto"/>
              <w:rPr>
                <w:rFonts w:asciiTheme="majorHAnsi" w:hAnsiTheme="majorHAnsi" w:cstheme="majorHAnsi"/>
                <w:strike/>
                <w:sz w:val="18"/>
                <w:szCs w:val="18"/>
                <w:highlight w:val="yellow"/>
              </w:rPr>
            </w:pPr>
            <w:r w:rsidRPr="00B45201">
              <w:rPr>
                <w:rFonts w:asciiTheme="majorHAnsi" w:hAnsiTheme="majorHAnsi" w:cstheme="majorHAnsi"/>
                <w:sz w:val="18"/>
                <w:szCs w:val="18"/>
              </w:rPr>
              <w:t>Non-oil value added at current prices (% contribution to total)</w:t>
            </w:r>
          </w:p>
        </w:tc>
        <w:tc>
          <w:tcPr>
            <w:tcW w:w="1068" w:type="dxa"/>
            <w:tcBorders>
              <w:top w:val="nil"/>
              <w:left w:val="nil"/>
              <w:bottom w:val="single" w:sz="8" w:space="0" w:color="D9D9D9"/>
              <w:right w:val="nil"/>
            </w:tcBorders>
            <w:shd w:val="clear" w:color="auto" w:fill="auto"/>
            <w:vAlign w:val="center"/>
          </w:tcPr>
          <w:p w14:paraId="70E9D19B" w14:textId="114BF980"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67.2</w:t>
            </w:r>
          </w:p>
        </w:tc>
        <w:tc>
          <w:tcPr>
            <w:tcW w:w="1080" w:type="dxa"/>
            <w:tcBorders>
              <w:top w:val="nil"/>
              <w:left w:val="nil"/>
              <w:bottom w:val="single" w:sz="8" w:space="0" w:color="D9D9D9"/>
              <w:right w:val="nil"/>
            </w:tcBorders>
            <w:shd w:val="clear" w:color="auto" w:fill="auto"/>
            <w:vAlign w:val="center"/>
          </w:tcPr>
          <w:p w14:paraId="551B1D8B" w14:textId="2626A9C9"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66.7</w:t>
            </w:r>
          </w:p>
        </w:tc>
        <w:tc>
          <w:tcPr>
            <w:tcW w:w="1080" w:type="dxa"/>
            <w:tcBorders>
              <w:top w:val="nil"/>
              <w:left w:val="nil"/>
              <w:bottom w:val="single" w:sz="8" w:space="0" w:color="D9D9D9"/>
              <w:right w:val="nil"/>
            </w:tcBorders>
            <w:shd w:val="clear" w:color="auto" w:fill="auto"/>
            <w:vAlign w:val="center"/>
          </w:tcPr>
          <w:p w14:paraId="0C494F9E" w14:textId="6BC8CB7F"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64.1</w:t>
            </w:r>
          </w:p>
        </w:tc>
        <w:tc>
          <w:tcPr>
            <w:tcW w:w="1080" w:type="dxa"/>
            <w:tcBorders>
              <w:top w:val="nil"/>
              <w:left w:val="nil"/>
              <w:bottom w:val="single" w:sz="8" w:space="0" w:color="D9D9D9"/>
              <w:right w:val="nil"/>
            </w:tcBorders>
            <w:shd w:val="clear" w:color="auto" w:fill="auto"/>
            <w:vAlign w:val="center"/>
          </w:tcPr>
          <w:p w14:paraId="73800602" w14:textId="062917C2"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63.2</w:t>
            </w:r>
          </w:p>
        </w:tc>
        <w:tc>
          <w:tcPr>
            <w:tcW w:w="1080" w:type="dxa"/>
            <w:tcBorders>
              <w:top w:val="nil"/>
              <w:left w:val="nil"/>
              <w:bottom w:val="single" w:sz="8" w:space="0" w:color="D9D9D9"/>
              <w:right w:val="nil"/>
            </w:tcBorders>
            <w:shd w:val="clear" w:color="auto" w:fill="auto"/>
            <w:vAlign w:val="center"/>
          </w:tcPr>
          <w:p w14:paraId="117381FA" w14:textId="0307D4BD"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60.1</w:t>
            </w:r>
          </w:p>
        </w:tc>
        <w:tc>
          <w:tcPr>
            <w:tcW w:w="1080" w:type="dxa"/>
            <w:tcBorders>
              <w:top w:val="nil"/>
              <w:left w:val="nil"/>
              <w:bottom w:val="single" w:sz="8" w:space="0" w:color="D9D9D9"/>
              <w:right w:val="nil"/>
            </w:tcBorders>
            <w:shd w:val="clear" w:color="auto" w:fill="auto"/>
            <w:vAlign w:val="center"/>
          </w:tcPr>
          <w:p w14:paraId="174E020E" w14:textId="62DD4587"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57.8</w:t>
            </w:r>
          </w:p>
        </w:tc>
        <w:tc>
          <w:tcPr>
            <w:tcW w:w="1080" w:type="dxa"/>
            <w:tcBorders>
              <w:top w:val="nil"/>
              <w:left w:val="nil"/>
              <w:bottom w:val="single" w:sz="8" w:space="0" w:color="D9D9D9"/>
              <w:right w:val="nil"/>
            </w:tcBorders>
            <w:shd w:val="clear" w:color="auto" w:fill="auto"/>
            <w:vAlign w:val="center"/>
          </w:tcPr>
          <w:p w14:paraId="26B18956" w14:textId="58A2E092"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57.7</w:t>
            </w:r>
          </w:p>
        </w:tc>
        <w:tc>
          <w:tcPr>
            <w:tcW w:w="1080" w:type="dxa"/>
            <w:tcBorders>
              <w:top w:val="nil"/>
              <w:left w:val="nil"/>
              <w:bottom w:val="single" w:sz="8" w:space="0" w:color="D9D9D9"/>
              <w:right w:val="nil"/>
            </w:tcBorders>
            <w:shd w:val="clear" w:color="auto" w:fill="auto"/>
            <w:vAlign w:val="center"/>
          </w:tcPr>
          <w:p w14:paraId="03EE6F34" w14:textId="25CF5147"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60.2</w:t>
            </w:r>
          </w:p>
        </w:tc>
      </w:tr>
      <w:tr w:rsidR="00691911" w:rsidRPr="00B2550C" w14:paraId="2CFE0690" w14:textId="77777777" w:rsidTr="00F7014D">
        <w:trPr>
          <w:trHeight w:val="595"/>
        </w:trPr>
        <w:tc>
          <w:tcPr>
            <w:tcW w:w="2823" w:type="dxa"/>
            <w:hideMark/>
          </w:tcPr>
          <w:p w14:paraId="6B7CF3EA" w14:textId="77777777" w:rsidR="00691911" w:rsidRPr="00B45201" w:rsidRDefault="00691911" w:rsidP="00691911">
            <w:pPr>
              <w:spacing w:after="120" w:line="240" w:lineRule="auto"/>
              <w:rPr>
                <w:rFonts w:asciiTheme="majorHAnsi" w:hAnsiTheme="majorHAnsi" w:cstheme="majorHAnsi"/>
                <w:sz w:val="18"/>
                <w:szCs w:val="18"/>
              </w:rPr>
            </w:pPr>
            <w:r w:rsidRPr="00B45201">
              <w:rPr>
                <w:rFonts w:asciiTheme="majorHAnsi" w:hAnsiTheme="majorHAnsi" w:cstheme="majorHAnsi"/>
                <w:sz w:val="18"/>
                <w:szCs w:val="18"/>
              </w:rPr>
              <w:t>GDP at constant 2007 prices (million AED)</w:t>
            </w:r>
          </w:p>
        </w:tc>
        <w:tc>
          <w:tcPr>
            <w:tcW w:w="1068" w:type="dxa"/>
            <w:tcBorders>
              <w:top w:val="nil"/>
              <w:left w:val="nil"/>
              <w:bottom w:val="single" w:sz="8" w:space="0" w:color="D9D9D9"/>
              <w:right w:val="nil"/>
            </w:tcBorders>
            <w:shd w:val="clear" w:color="auto" w:fill="auto"/>
            <w:vAlign w:val="center"/>
          </w:tcPr>
          <w:p w14:paraId="33A63AFD" w14:textId="7B8E2417"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195,177</w:t>
            </w:r>
          </w:p>
        </w:tc>
        <w:tc>
          <w:tcPr>
            <w:tcW w:w="1080" w:type="dxa"/>
            <w:tcBorders>
              <w:top w:val="nil"/>
              <w:left w:val="nil"/>
              <w:bottom w:val="single" w:sz="8" w:space="0" w:color="D9D9D9"/>
              <w:right w:val="nil"/>
            </w:tcBorders>
            <w:shd w:val="clear" w:color="auto" w:fill="auto"/>
            <w:vAlign w:val="center"/>
          </w:tcPr>
          <w:p w14:paraId="0B31D3CE" w14:textId="30F3A529"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195,233</w:t>
            </w:r>
          </w:p>
        </w:tc>
        <w:tc>
          <w:tcPr>
            <w:tcW w:w="1080" w:type="dxa"/>
            <w:tcBorders>
              <w:top w:val="nil"/>
              <w:left w:val="nil"/>
              <w:bottom w:val="single" w:sz="8" w:space="0" w:color="D9D9D9"/>
              <w:right w:val="nil"/>
            </w:tcBorders>
            <w:shd w:val="clear" w:color="auto" w:fill="auto"/>
            <w:vAlign w:val="center"/>
          </w:tcPr>
          <w:p w14:paraId="11973BCA" w14:textId="2E56ABAB"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195,939</w:t>
            </w:r>
          </w:p>
        </w:tc>
        <w:tc>
          <w:tcPr>
            <w:tcW w:w="1080" w:type="dxa"/>
            <w:tcBorders>
              <w:top w:val="nil"/>
              <w:left w:val="nil"/>
              <w:bottom w:val="single" w:sz="8" w:space="0" w:color="D9D9D9"/>
              <w:right w:val="nil"/>
            </w:tcBorders>
            <w:shd w:val="clear" w:color="auto" w:fill="auto"/>
            <w:vAlign w:val="center"/>
          </w:tcPr>
          <w:p w14:paraId="71DD5F77" w14:textId="1F08A296"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195,991</w:t>
            </w:r>
          </w:p>
        </w:tc>
        <w:tc>
          <w:tcPr>
            <w:tcW w:w="1080" w:type="dxa"/>
            <w:tcBorders>
              <w:top w:val="nil"/>
              <w:left w:val="nil"/>
              <w:bottom w:val="single" w:sz="8" w:space="0" w:color="D9D9D9"/>
              <w:right w:val="nil"/>
            </w:tcBorders>
            <w:shd w:val="clear" w:color="auto" w:fill="auto"/>
            <w:vAlign w:val="center"/>
          </w:tcPr>
          <w:p w14:paraId="54A44314" w14:textId="5007AD37"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199,342</w:t>
            </w:r>
          </w:p>
        </w:tc>
        <w:tc>
          <w:tcPr>
            <w:tcW w:w="1080" w:type="dxa"/>
            <w:tcBorders>
              <w:top w:val="nil"/>
              <w:left w:val="nil"/>
              <w:bottom w:val="single" w:sz="8" w:space="0" w:color="D9D9D9"/>
              <w:right w:val="nil"/>
            </w:tcBorders>
            <w:shd w:val="clear" w:color="auto" w:fill="auto"/>
            <w:vAlign w:val="center"/>
          </w:tcPr>
          <w:p w14:paraId="3CAE3101" w14:textId="28108DAD"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198,759</w:t>
            </w:r>
          </w:p>
        </w:tc>
        <w:tc>
          <w:tcPr>
            <w:tcW w:w="1080" w:type="dxa"/>
            <w:tcBorders>
              <w:top w:val="nil"/>
              <w:left w:val="nil"/>
              <w:bottom w:val="single" w:sz="8" w:space="0" w:color="D9D9D9"/>
              <w:right w:val="nil"/>
            </w:tcBorders>
            <w:shd w:val="clear" w:color="auto" w:fill="auto"/>
            <w:vAlign w:val="center"/>
          </w:tcPr>
          <w:p w14:paraId="019ACBEF" w14:textId="1879C2F8"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203,186</w:t>
            </w:r>
          </w:p>
        </w:tc>
        <w:tc>
          <w:tcPr>
            <w:tcW w:w="1080" w:type="dxa"/>
            <w:tcBorders>
              <w:top w:val="nil"/>
              <w:left w:val="nil"/>
              <w:bottom w:val="single" w:sz="8" w:space="0" w:color="D9D9D9"/>
              <w:right w:val="nil"/>
            </w:tcBorders>
            <w:shd w:val="clear" w:color="auto" w:fill="auto"/>
            <w:vAlign w:val="center"/>
          </w:tcPr>
          <w:p w14:paraId="2A8E37C3" w14:textId="1D6DE564"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207,192</w:t>
            </w:r>
          </w:p>
        </w:tc>
      </w:tr>
      <w:tr w:rsidR="00691911" w:rsidRPr="00B2550C" w14:paraId="6AEA84AC" w14:textId="77777777" w:rsidTr="00F7014D">
        <w:trPr>
          <w:trHeight w:val="400"/>
        </w:trPr>
        <w:tc>
          <w:tcPr>
            <w:tcW w:w="2823" w:type="dxa"/>
            <w:hideMark/>
          </w:tcPr>
          <w:p w14:paraId="284E95AC" w14:textId="77777777" w:rsidR="00691911" w:rsidRPr="00B45201" w:rsidRDefault="00691911" w:rsidP="00691911">
            <w:pPr>
              <w:spacing w:after="120" w:line="240" w:lineRule="auto"/>
              <w:rPr>
                <w:rFonts w:asciiTheme="majorHAnsi" w:hAnsiTheme="majorHAnsi" w:cstheme="majorHAnsi"/>
                <w:strike/>
                <w:sz w:val="18"/>
                <w:szCs w:val="18"/>
                <w:highlight w:val="yellow"/>
              </w:rPr>
            </w:pPr>
            <w:r w:rsidRPr="00B45201">
              <w:rPr>
                <w:rFonts w:asciiTheme="majorHAnsi" w:hAnsiTheme="majorHAnsi" w:cstheme="majorHAnsi"/>
                <w:sz w:val="18"/>
                <w:szCs w:val="18"/>
              </w:rPr>
              <w:t>Oil value added at constant 2007 prices (million AED)</w:t>
            </w:r>
          </w:p>
        </w:tc>
        <w:tc>
          <w:tcPr>
            <w:tcW w:w="1068" w:type="dxa"/>
            <w:tcBorders>
              <w:top w:val="nil"/>
              <w:left w:val="nil"/>
              <w:bottom w:val="single" w:sz="8" w:space="0" w:color="D9D9D9"/>
              <w:right w:val="nil"/>
            </w:tcBorders>
            <w:shd w:val="clear" w:color="auto" w:fill="auto"/>
            <w:vAlign w:val="center"/>
          </w:tcPr>
          <w:p w14:paraId="69D0B106" w14:textId="12395433"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94,884</w:t>
            </w:r>
          </w:p>
        </w:tc>
        <w:tc>
          <w:tcPr>
            <w:tcW w:w="1080" w:type="dxa"/>
            <w:tcBorders>
              <w:top w:val="nil"/>
              <w:left w:val="nil"/>
              <w:bottom w:val="single" w:sz="8" w:space="0" w:color="D9D9D9"/>
              <w:right w:val="nil"/>
            </w:tcBorders>
            <w:shd w:val="clear" w:color="auto" w:fill="auto"/>
            <w:vAlign w:val="center"/>
          </w:tcPr>
          <w:p w14:paraId="06242AF5" w14:textId="480E7B6D"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93,880</w:t>
            </w:r>
          </w:p>
        </w:tc>
        <w:tc>
          <w:tcPr>
            <w:tcW w:w="1080" w:type="dxa"/>
            <w:tcBorders>
              <w:top w:val="nil"/>
              <w:left w:val="nil"/>
              <w:bottom w:val="single" w:sz="8" w:space="0" w:color="D9D9D9"/>
              <w:right w:val="nil"/>
            </w:tcBorders>
            <w:shd w:val="clear" w:color="auto" w:fill="auto"/>
            <w:vAlign w:val="center"/>
          </w:tcPr>
          <w:p w14:paraId="3490A6DC" w14:textId="545AAF4A"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93,269</w:t>
            </w:r>
          </w:p>
        </w:tc>
        <w:tc>
          <w:tcPr>
            <w:tcW w:w="1080" w:type="dxa"/>
            <w:tcBorders>
              <w:top w:val="nil"/>
              <w:left w:val="nil"/>
              <w:bottom w:val="single" w:sz="8" w:space="0" w:color="D9D9D9"/>
              <w:right w:val="nil"/>
            </w:tcBorders>
            <w:shd w:val="clear" w:color="auto" w:fill="auto"/>
            <w:vAlign w:val="center"/>
          </w:tcPr>
          <w:p w14:paraId="2C5E260E" w14:textId="3ECD2E4B"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94,655</w:t>
            </w:r>
          </w:p>
        </w:tc>
        <w:tc>
          <w:tcPr>
            <w:tcW w:w="1080" w:type="dxa"/>
            <w:tcBorders>
              <w:top w:val="nil"/>
              <w:left w:val="nil"/>
              <w:bottom w:val="single" w:sz="8" w:space="0" w:color="D9D9D9"/>
              <w:right w:val="nil"/>
            </w:tcBorders>
            <w:shd w:val="clear" w:color="auto" w:fill="auto"/>
            <w:vAlign w:val="center"/>
          </w:tcPr>
          <w:p w14:paraId="32E6C2A6" w14:textId="240442C0"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96,075</w:t>
            </w:r>
          </w:p>
        </w:tc>
        <w:tc>
          <w:tcPr>
            <w:tcW w:w="1080" w:type="dxa"/>
            <w:tcBorders>
              <w:top w:val="nil"/>
              <w:left w:val="nil"/>
              <w:bottom w:val="single" w:sz="8" w:space="0" w:color="D9D9D9"/>
              <w:right w:val="nil"/>
            </w:tcBorders>
            <w:shd w:val="clear" w:color="auto" w:fill="auto"/>
            <w:vAlign w:val="center"/>
          </w:tcPr>
          <w:p w14:paraId="59C632CB" w14:textId="4DBDAC41"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98,426</w:t>
            </w:r>
          </w:p>
        </w:tc>
        <w:tc>
          <w:tcPr>
            <w:tcW w:w="1080" w:type="dxa"/>
            <w:tcBorders>
              <w:top w:val="nil"/>
              <w:left w:val="nil"/>
              <w:bottom w:val="single" w:sz="8" w:space="0" w:color="D9D9D9"/>
              <w:right w:val="nil"/>
            </w:tcBorders>
            <w:shd w:val="clear" w:color="auto" w:fill="auto"/>
            <w:vAlign w:val="center"/>
          </w:tcPr>
          <w:p w14:paraId="23978371" w14:textId="357F39F7"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101,598</w:t>
            </w:r>
          </w:p>
        </w:tc>
        <w:tc>
          <w:tcPr>
            <w:tcW w:w="1080" w:type="dxa"/>
            <w:tcBorders>
              <w:top w:val="nil"/>
              <w:left w:val="nil"/>
              <w:bottom w:val="single" w:sz="8" w:space="0" w:color="D9D9D9"/>
              <w:right w:val="nil"/>
            </w:tcBorders>
            <w:shd w:val="clear" w:color="auto" w:fill="auto"/>
            <w:vAlign w:val="center"/>
          </w:tcPr>
          <w:p w14:paraId="069A5CE6" w14:textId="1C05E394"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106,809</w:t>
            </w:r>
          </w:p>
        </w:tc>
      </w:tr>
      <w:tr w:rsidR="00691911" w:rsidRPr="00B2550C" w14:paraId="5D308C69" w14:textId="77777777" w:rsidTr="00F7014D">
        <w:trPr>
          <w:trHeight w:val="595"/>
        </w:trPr>
        <w:tc>
          <w:tcPr>
            <w:tcW w:w="2823" w:type="dxa"/>
            <w:hideMark/>
          </w:tcPr>
          <w:p w14:paraId="41F09F43" w14:textId="77777777" w:rsidR="00691911" w:rsidRPr="00B45201" w:rsidRDefault="00691911" w:rsidP="00691911">
            <w:pPr>
              <w:spacing w:after="120" w:line="240" w:lineRule="auto"/>
              <w:rPr>
                <w:rFonts w:asciiTheme="majorHAnsi" w:hAnsiTheme="majorHAnsi" w:cstheme="majorHAnsi"/>
                <w:strike/>
                <w:sz w:val="18"/>
                <w:szCs w:val="18"/>
                <w:highlight w:val="yellow"/>
              </w:rPr>
            </w:pPr>
            <w:r w:rsidRPr="00B45201">
              <w:rPr>
                <w:rFonts w:asciiTheme="majorHAnsi" w:hAnsiTheme="majorHAnsi" w:cstheme="majorHAnsi"/>
                <w:sz w:val="18"/>
                <w:szCs w:val="18"/>
              </w:rPr>
              <w:t>Oil value added at constant 2007 prices (% contribution to total)</w:t>
            </w:r>
          </w:p>
        </w:tc>
        <w:tc>
          <w:tcPr>
            <w:tcW w:w="1068" w:type="dxa"/>
            <w:tcBorders>
              <w:top w:val="nil"/>
              <w:left w:val="nil"/>
              <w:bottom w:val="single" w:sz="8" w:space="0" w:color="D9D9D9"/>
              <w:right w:val="nil"/>
            </w:tcBorders>
            <w:shd w:val="clear" w:color="auto" w:fill="auto"/>
            <w:vAlign w:val="center"/>
          </w:tcPr>
          <w:p w14:paraId="471AB304" w14:textId="6CDF872E"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48.6</w:t>
            </w:r>
          </w:p>
        </w:tc>
        <w:tc>
          <w:tcPr>
            <w:tcW w:w="1080" w:type="dxa"/>
            <w:tcBorders>
              <w:top w:val="nil"/>
              <w:left w:val="nil"/>
              <w:bottom w:val="single" w:sz="8" w:space="0" w:color="D9D9D9"/>
              <w:right w:val="nil"/>
            </w:tcBorders>
            <w:shd w:val="clear" w:color="auto" w:fill="auto"/>
            <w:vAlign w:val="center"/>
          </w:tcPr>
          <w:p w14:paraId="66528CF3" w14:textId="1D6B586B"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48.1</w:t>
            </w:r>
          </w:p>
        </w:tc>
        <w:tc>
          <w:tcPr>
            <w:tcW w:w="1080" w:type="dxa"/>
            <w:tcBorders>
              <w:top w:val="nil"/>
              <w:left w:val="nil"/>
              <w:bottom w:val="single" w:sz="8" w:space="0" w:color="D9D9D9"/>
              <w:right w:val="nil"/>
            </w:tcBorders>
            <w:shd w:val="clear" w:color="auto" w:fill="auto"/>
            <w:vAlign w:val="center"/>
          </w:tcPr>
          <w:p w14:paraId="07F620B8" w14:textId="39762EB8"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47.6</w:t>
            </w:r>
          </w:p>
        </w:tc>
        <w:tc>
          <w:tcPr>
            <w:tcW w:w="1080" w:type="dxa"/>
            <w:tcBorders>
              <w:top w:val="nil"/>
              <w:left w:val="nil"/>
              <w:bottom w:val="single" w:sz="8" w:space="0" w:color="D9D9D9"/>
              <w:right w:val="nil"/>
            </w:tcBorders>
            <w:shd w:val="clear" w:color="auto" w:fill="auto"/>
            <w:vAlign w:val="center"/>
          </w:tcPr>
          <w:p w14:paraId="0851EF8A" w14:textId="2A05B515"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48.3</w:t>
            </w:r>
          </w:p>
        </w:tc>
        <w:tc>
          <w:tcPr>
            <w:tcW w:w="1080" w:type="dxa"/>
            <w:tcBorders>
              <w:top w:val="nil"/>
              <w:left w:val="nil"/>
              <w:bottom w:val="single" w:sz="8" w:space="0" w:color="D9D9D9"/>
              <w:right w:val="nil"/>
            </w:tcBorders>
            <w:shd w:val="clear" w:color="auto" w:fill="auto"/>
            <w:vAlign w:val="center"/>
          </w:tcPr>
          <w:p w14:paraId="4A5F398E" w14:textId="0D5DCA5E"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48.2</w:t>
            </w:r>
          </w:p>
        </w:tc>
        <w:tc>
          <w:tcPr>
            <w:tcW w:w="1080" w:type="dxa"/>
            <w:tcBorders>
              <w:top w:val="nil"/>
              <w:left w:val="nil"/>
              <w:bottom w:val="single" w:sz="8" w:space="0" w:color="D9D9D9"/>
              <w:right w:val="nil"/>
            </w:tcBorders>
            <w:shd w:val="clear" w:color="auto" w:fill="auto"/>
            <w:vAlign w:val="center"/>
          </w:tcPr>
          <w:p w14:paraId="422FCDCF" w14:textId="61644052"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49.5</w:t>
            </w:r>
          </w:p>
        </w:tc>
        <w:tc>
          <w:tcPr>
            <w:tcW w:w="1080" w:type="dxa"/>
            <w:tcBorders>
              <w:top w:val="nil"/>
              <w:left w:val="nil"/>
              <w:bottom w:val="single" w:sz="8" w:space="0" w:color="D9D9D9"/>
              <w:right w:val="nil"/>
            </w:tcBorders>
            <w:shd w:val="clear" w:color="auto" w:fill="auto"/>
            <w:vAlign w:val="center"/>
          </w:tcPr>
          <w:p w14:paraId="3EF75424" w14:textId="6B157626"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50.0</w:t>
            </w:r>
          </w:p>
        </w:tc>
        <w:tc>
          <w:tcPr>
            <w:tcW w:w="1080" w:type="dxa"/>
            <w:tcBorders>
              <w:top w:val="nil"/>
              <w:left w:val="nil"/>
              <w:bottom w:val="single" w:sz="8" w:space="0" w:color="D9D9D9"/>
              <w:right w:val="nil"/>
            </w:tcBorders>
            <w:shd w:val="clear" w:color="auto" w:fill="auto"/>
            <w:vAlign w:val="center"/>
          </w:tcPr>
          <w:p w14:paraId="3163D008" w14:textId="28F86BB9"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51.6</w:t>
            </w:r>
          </w:p>
        </w:tc>
      </w:tr>
      <w:tr w:rsidR="00691911" w:rsidRPr="00946417" w14:paraId="421510FC" w14:textId="77777777" w:rsidTr="00F7014D">
        <w:trPr>
          <w:trHeight w:val="595"/>
        </w:trPr>
        <w:tc>
          <w:tcPr>
            <w:tcW w:w="2823" w:type="dxa"/>
            <w:hideMark/>
          </w:tcPr>
          <w:p w14:paraId="2A877941" w14:textId="77777777" w:rsidR="00691911" w:rsidRPr="00B45201" w:rsidRDefault="00691911" w:rsidP="00691911">
            <w:pPr>
              <w:spacing w:after="120" w:line="240" w:lineRule="auto"/>
              <w:rPr>
                <w:rFonts w:asciiTheme="majorHAnsi" w:hAnsiTheme="majorHAnsi" w:cstheme="majorHAnsi"/>
                <w:sz w:val="18"/>
                <w:szCs w:val="18"/>
              </w:rPr>
            </w:pPr>
            <w:r w:rsidRPr="00B45201">
              <w:rPr>
                <w:rFonts w:asciiTheme="majorHAnsi" w:hAnsiTheme="majorHAnsi" w:cstheme="majorHAnsi"/>
                <w:sz w:val="18"/>
                <w:szCs w:val="18"/>
              </w:rPr>
              <w:t>Non-oil value added at constant 2007 prices (million AED)</w:t>
            </w:r>
          </w:p>
        </w:tc>
        <w:tc>
          <w:tcPr>
            <w:tcW w:w="1068" w:type="dxa"/>
            <w:tcBorders>
              <w:top w:val="nil"/>
              <w:left w:val="nil"/>
              <w:bottom w:val="single" w:sz="8" w:space="0" w:color="D9D9D9"/>
              <w:right w:val="nil"/>
            </w:tcBorders>
            <w:shd w:val="clear" w:color="auto" w:fill="auto"/>
            <w:vAlign w:val="center"/>
          </w:tcPr>
          <w:p w14:paraId="2A4375AD" w14:textId="31627136"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100,292</w:t>
            </w:r>
          </w:p>
        </w:tc>
        <w:tc>
          <w:tcPr>
            <w:tcW w:w="1080" w:type="dxa"/>
            <w:tcBorders>
              <w:top w:val="nil"/>
              <w:left w:val="nil"/>
              <w:bottom w:val="single" w:sz="8" w:space="0" w:color="D9D9D9"/>
              <w:right w:val="nil"/>
            </w:tcBorders>
            <w:shd w:val="clear" w:color="auto" w:fill="auto"/>
            <w:vAlign w:val="center"/>
          </w:tcPr>
          <w:p w14:paraId="79063720" w14:textId="50FB1762"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101,353</w:t>
            </w:r>
          </w:p>
        </w:tc>
        <w:tc>
          <w:tcPr>
            <w:tcW w:w="1080" w:type="dxa"/>
            <w:tcBorders>
              <w:top w:val="nil"/>
              <w:left w:val="nil"/>
              <w:bottom w:val="single" w:sz="8" w:space="0" w:color="D9D9D9"/>
              <w:right w:val="nil"/>
            </w:tcBorders>
            <w:shd w:val="clear" w:color="auto" w:fill="auto"/>
            <w:vAlign w:val="center"/>
          </w:tcPr>
          <w:p w14:paraId="7E7DB930" w14:textId="26C2E9AD"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102,670</w:t>
            </w:r>
          </w:p>
        </w:tc>
        <w:tc>
          <w:tcPr>
            <w:tcW w:w="1080" w:type="dxa"/>
            <w:tcBorders>
              <w:top w:val="nil"/>
              <w:left w:val="nil"/>
              <w:bottom w:val="single" w:sz="8" w:space="0" w:color="D9D9D9"/>
              <w:right w:val="nil"/>
            </w:tcBorders>
            <w:shd w:val="clear" w:color="auto" w:fill="auto"/>
            <w:vAlign w:val="center"/>
          </w:tcPr>
          <w:p w14:paraId="38365C4D" w14:textId="622E38F5"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101,336</w:t>
            </w:r>
          </w:p>
        </w:tc>
        <w:tc>
          <w:tcPr>
            <w:tcW w:w="1080" w:type="dxa"/>
            <w:tcBorders>
              <w:top w:val="nil"/>
              <w:left w:val="nil"/>
              <w:bottom w:val="single" w:sz="8" w:space="0" w:color="D9D9D9"/>
              <w:right w:val="nil"/>
            </w:tcBorders>
            <w:shd w:val="clear" w:color="auto" w:fill="auto"/>
            <w:vAlign w:val="center"/>
          </w:tcPr>
          <w:p w14:paraId="187FC52D" w14:textId="581616C6"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103,267</w:t>
            </w:r>
          </w:p>
        </w:tc>
        <w:tc>
          <w:tcPr>
            <w:tcW w:w="1080" w:type="dxa"/>
            <w:tcBorders>
              <w:top w:val="nil"/>
              <w:left w:val="nil"/>
              <w:bottom w:val="single" w:sz="8" w:space="0" w:color="D9D9D9"/>
              <w:right w:val="nil"/>
            </w:tcBorders>
            <w:shd w:val="clear" w:color="auto" w:fill="auto"/>
            <w:vAlign w:val="center"/>
          </w:tcPr>
          <w:p w14:paraId="78BC0298" w14:textId="2C825C22"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100,334</w:t>
            </w:r>
          </w:p>
        </w:tc>
        <w:tc>
          <w:tcPr>
            <w:tcW w:w="1080" w:type="dxa"/>
            <w:tcBorders>
              <w:top w:val="nil"/>
              <w:left w:val="nil"/>
              <w:bottom w:val="single" w:sz="8" w:space="0" w:color="D9D9D9"/>
              <w:right w:val="nil"/>
            </w:tcBorders>
            <w:shd w:val="clear" w:color="auto" w:fill="auto"/>
            <w:vAlign w:val="center"/>
          </w:tcPr>
          <w:p w14:paraId="5FBC8AB6" w14:textId="6E8092D5"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101,587</w:t>
            </w:r>
          </w:p>
        </w:tc>
        <w:tc>
          <w:tcPr>
            <w:tcW w:w="1080" w:type="dxa"/>
            <w:tcBorders>
              <w:top w:val="nil"/>
              <w:left w:val="nil"/>
              <w:bottom w:val="single" w:sz="8" w:space="0" w:color="D9D9D9"/>
              <w:right w:val="nil"/>
            </w:tcBorders>
            <w:shd w:val="clear" w:color="auto" w:fill="auto"/>
            <w:vAlign w:val="center"/>
          </w:tcPr>
          <w:p w14:paraId="5F224DF1" w14:textId="5D497292"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100,383</w:t>
            </w:r>
          </w:p>
        </w:tc>
      </w:tr>
      <w:tr w:rsidR="00691911" w:rsidRPr="00B2550C" w14:paraId="2B0ECD44" w14:textId="77777777" w:rsidTr="00F7014D">
        <w:trPr>
          <w:trHeight w:val="595"/>
        </w:trPr>
        <w:tc>
          <w:tcPr>
            <w:tcW w:w="2823" w:type="dxa"/>
            <w:hideMark/>
          </w:tcPr>
          <w:p w14:paraId="3D3965BE" w14:textId="77777777" w:rsidR="00691911" w:rsidRPr="00B45201" w:rsidRDefault="00691911" w:rsidP="00691911">
            <w:pPr>
              <w:spacing w:after="120" w:line="240" w:lineRule="auto"/>
              <w:rPr>
                <w:rFonts w:asciiTheme="majorHAnsi" w:hAnsiTheme="majorHAnsi" w:cstheme="majorHAnsi"/>
                <w:strike/>
                <w:sz w:val="18"/>
                <w:szCs w:val="18"/>
                <w:highlight w:val="yellow"/>
              </w:rPr>
            </w:pPr>
            <w:r w:rsidRPr="00B45201">
              <w:rPr>
                <w:rFonts w:asciiTheme="majorHAnsi" w:hAnsiTheme="majorHAnsi" w:cstheme="majorHAnsi"/>
                <w:sz w:val="18"/>
                <w:szCs w:val="18"/>
              </w:rPr>
              <w:t>Non-oil value added at constant 2007 prices (% contribution to total)</w:t>
            </w:r>
          </w:p>
        </w:tc>
        <w:tc>
          <w:tcPr>
            <w:tcW w:w="1068" w:type="dxa"/>
            <w:tcBorders>
              <w:top w:val="nil"/>
              <w:left w:val="nil"/>
              <w:bottom w:val="single" w:sz="8" w:space="0" w:color="D9D9D9"/>
              <w:right w:val="nil"/>
            </w:tcBorders>
            <w:shd w:val="clear" w:color="auto" w:fill="auto"/>
            <w:vAlign w:val="center"/>
          </w:tcPr>
          <w:p w14:paraId="5E010DD4" w14:textId="558DED30"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51.4</w:t>
            </w:r>
          </w:p>
        </w:tc>
        <w:tc>
          <w:tcPr>
            <w:tcW w:w="1080" w:type="dxa"/>
            <w:tcBorders>
              <w:top w:val="nil"/>
              <w:left w:val="nil"/>
              <w:bottom w:val="single" w:sz="8" w:space="0" w:color="D9D9D9"/>
              <w:right w:val="nil"/>
            </w:tcBorders>
            <w:shd w:val="clear" w:color="auto" w:fill="auto"/>
            <w:vAlign w:val="center"/>
          </w:tcPr>
          <w:p w14:paraId="697C55C1" w14:textId="34F8EBFB"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51.9</w:t>
            </w:r>
          </w:p>
        </w:tc>
        <w:tc>
          <w:tcPr>
            <w:tcW w:w="1080" w:type="dxa"/>
            <w:tcBorders>
              <w:top w:val="nil"/>
              <w:left w:val="nil"/>
              <w:bottom w:val="single" w:sz="8" w:space="0" w:color="D9D9D9"/>
              <w:right w:val="nil"/>
            </w:tcBorders>
            <w:shd w:val="clear" w:color="auto" w:fill="auto"/>
            <w:vAlign w:val="center"/>
          </w:tcPr>
          <w:p w14:paraId="61F2C1DA" w14:textId="2916D738"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52.4</w:t>
            </w:r>
          </w:p>
        </w:tc>
        <w:tc>
          <w:tcPr>
            <w:tcW w:w="1080" w:type="dxa"/>
            <w:tcBorders>
              <w:top w:val="nil"/>
              <w:left w:val="nil"/>
              <w:bottom w:val="single" w:sz="8" w:space="0" w:color="D9D9D9"/>
              <w:right w:val="nil"/>
            </w:tcBorders>
            <w:shd w:val="clear" w:color="auto" w:fill="auto"/>
            <w:vAlign w:val="center"/>
          </w:tcPr>
          <w:p w14:paraId="3903A1E3" w14:textId="1FF44568"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51.7</w:t>
            </w:r>
          </w:p>
        </w:tc>
        <w:tc>
          <w:tcPr>
            <w:tcW w:w="1080" w:type="dxa"/>
            <w:tcBorders>
              <w:top w:val="nil"/>
              <w:left w:val="nil"/>
              <w:bottom w:val="single" w:sz="8" w:space="0" w:color="D9D9D9"/>
              <w:right w:val="nil"/>
            </w:tcBorders>
            <w:shd w:val="clear" w:color="auto" w:fill="auto"/>
            <w:vAlign w:val="center"/>
          </w:tcPr>
          <w:p w14:paraId="5B664533" w14:textId="11C5D271"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51.8</w:t>
            </w:r>
          </w:p>
        </w:tc>
        <w:tc>
          <w:tcPr>
            <w:tcW w:w="1080" w:type="dxa"/>
            <w:tcBorders>
              <w:top w:val="nil"/>
              <w:left w:val="nil"/>
              <w:bottom w:val="single" w:sz="8" w:space="0" w:color="D9D9D9"/>
              <w:right w:val="nil"/>
            </w:tcBorders>
            <w:shd w:val="clear" w:color="auto" w:fill="auto"/>
            <w:vAlign w:val="center"/>
          </w:tcPr>
          <w:p w14:paraId="7D799728" w14:textId="0B74AFE3"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50.5</w:t>
            </w:r>
          </w:p>
        </w:tc>
        <w:tc>
          <w:tcPr>
            <w:tcW w:w="1080" w:type="dxa"/>
            <w:tcBorders>
              <w:top w:val="nil"/>
              <w:left w:val="nil"/>
              <w:bottom w:val="single" w:sz="8" w:space="0" w:color="D9D9D9"/>
              <w:right w:val="nil"/>
            </w:tcBorders>
            <w:shd w:val="clear" w:color="auto" w:fill="auto"/>
            <w:vAlign w:val="center"/>
          </w:tcPr>
          <w:p w14:paraId="3CA8CD5F" w14:textId="214038E9"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50.0</w:t>
            </w:r>
          </w:p>
        </w:tc>
        <w:tc>
          <w:tcPr>
            <w:tcW w:w="1080" w:type="dxa"/>
            <w:tcBorders>
              <w:top w:val="nil"/>
              <w:left w:val="nil"/>
              <w:bottom w:val="single" w:sz="8" w:space="0" w:color="D9D9D9"/>
              <w:right w:val="nil"/>
            </w:tcBorders>
            <w:shd w:val="clear" w:color="auto" w:fill="auto"/>
            <w:vAlign w:val="center"/>
          </w:tcPr>
          <w:p w14:paraId="32DB8875" w14:textId="65BD2720" w:rsidR="00691911" w:rsidRPr="00A1223F" w:rsidRDefault="00691911" w:rsidP="00691911">
            <w:pPr>
              <w:jc w:val="right"/>
              <w:rPr>
                <w:rFonts w:ascii="Tahoma" w:hAnsi="Tahoma" w:cs="Tahoma"/>
                <w:color w:val="6D6E71"/>
                <w:sz w:val="20"/>
                <w:szCs w:val="20"/>
              </w:rPr>
            </w:pPr>
            <w:r>
              <w:rPr>
                <w:rFonts w:ascii="Tahoma" w:hAnsi="Tahoma" w:cs="Tahoma"/>
                <w:color w:val="6D6E71"/>
                <w:sz w:val="20"/>
                <w:szCs w:val="20"/>
              </w:rPr>
              <w:t>48.4</w:t>
            </w:r>
          </w:p>
        </w:tc>
      </w:tr>
    </w:tbl>
    <w:p w14:paraId="71E57E98" w14:textId="77777777" w:rsidR="00103044" w:rsidRDefault="00103044" w:rsidP="00917809">
      <w:pPr>
        <w:pStyle w:val="EcoSourceNote"/>
      </w:pPr>
    </w:p>
    <w:p w14:paraId="0C3685B5" w14:textId="77777777" w:rsidR="00117AE3" w:rsidRPr="00757155" w:rsidRDefault="00117AE3" w:rsidP="00917809">
      <w:pPr>
        <w:pStyle w:val="EcoSourceNote"/>
      </w:pPr>
      <w:r w:rsidRPr="00757155">
        <w:t>Source: Statistics Centre - Abu Dhabi</w:t>
      </w:r>
    </w:p>
    <w:p w14:paraId="22B4273B" w14:textId="77777777" w:rsidR="00117AE3" w:rsidRPr="00757155" w:rsidRDefault="00117AE3" w:rsidP="00917809">
      <w:pPr>
        <w:pStyle w:val="EcoTableChartNotes"/>
      </w:pPr>
      <w:r w:rsidRPr="00757155">
        <w:t>*Preliminary estimates</w:t>
      </w:r>
    </w:p>
    <w:p w14:paraId="7E0A19D2" w14:textId="77777777" w:rsidR="00117AE3" w:rsidRPr="00B2550C" w:rsidRDefault="00117AE3" w:rsidP="00103044">
      <w:pPr>
        <w:autoSpaceDE w:val="0"/>
        <w:autoSpaceDN w:val="0"/>
        <w:adjustRightInd w:val="0"/>
        <w:spacing w:after="0"/>
        <w:ind w:hanging="900"/>
        <w:rPr>
          <w:rFonts w:ascii="Arial" w:eastAsia="Calibri" w:hAnsi="Arial"/>
          <w:b/>
          <w:color w:val="595959"/>
          <w:sz w:val="20"/>
          <w:szCs w:val="20"/>
        </w:rPr>
      </w:pPr>
    </w:p>
    <w:p w14:paraId="648D90F0" w14:textId="77777777" w:rsidR="00117AE3" w:rsidRPr="00F13B1C" w:rsidRDefault="00117AE3" w:rsidP="00117AE3">
      <w:pPr>
        <w:autoSpaceDE w:val="0"/>
        <w:autoSpaceDN w:val="0"/>
        <w:adjustRightInd w:val="0"/>
        <w:spacing w:after="0"/>
        <w:rPr>
          <w:rFonts w:ascii="Arial" w:eastAsia="Calibri" w:hAnsi="Arial"/>
          <w:b/>
          <w:color w:val="595959"/>
          <w:sz w:val="12"/>
          <w:szCs w:val="12"/>
        </w:rPr>
      </w:pPr>
    </w:p>
    <w:p w14:paraId="25FE2693" w14:textId="77777777" w:rsidR="00117AE3" w:rsidRPr="00263BBB" w:rsidRDefault="00117AE3" w:rsidP="00F13B1C">
      <w:pPr>
        <w:autoSpaceDE w:val="0"/>
        <w:autoSpaceDN w:val="0"/>
        <w:adjustRightInd w:val="0"/>
        <w:spacing w:after="0"/>
        <w:ind w:hanging="900"/>
        <w:rPr>
          <w:rFonts w:ascii="Arial" w:eastAsia="Calibri" w:hAnsi="Arial"/>
          <w:b/>
          <w:color w:val="C00000"/>
        </w:rPr>
      </w:pPr>
      <w:r w:rsidRPr="00263BBB">
        <w:rPr>
          <w:rFonts w:ascii="Arial" w:eastAsia="Calibri" w:hAnsi="Arial"/>
          <w:b/>
          <w:color w:val="D6A461" w:themeColor="text2"/>
        </w:rPr>
        <w:t>Table 2:</w:t>
      </w:r>
      <w:r w:rsidRPr="00B2550C">
        <w:rPr>
          <w:rFonts w:ascii="Arial" w:eastAsia="Calibri" w:hAnsi="Arial"/>
          <w:b/>
          <w:color w:val="595959"/>
        </w:rPr>
        <w:t xml:space="preserve"> Oil and Non-oil Gross Domestic Product at current and constant prices</w:t>
      </w:r>
      <w:r w:rsidRPr="00263BBB">
        <w:rPr>
          <w:rFonts w:ascii="Arial" w:eastAsia="Calibri" w:hAnsi="Arial"/>
          <w:b/>
          <w:color w:val="C00000"/>
        </w:rPr>
        <w:t>*</w:t>
      </w:r>
    </w:p>
    <w:p w14:paraId="221A91A6" w14:textId="77777777" w:rsidR="00117AE3" w:rsidRPr="00B2550C" w:rsidRDefault="00117AE3" w:rsidP="00F13B1C">
      <w:pPr>
        <w:autoSpaceDE w:val="0"/>
        <w:autoSpaceDN w:val="0"/>
        <w:adjustRightInd w:val="0"/>
        <w:spacing w:after="0" w:line="240" w:lineRule="auto"/>
        <w:ind w:hanging="900"/>
        <w:contextualSpacing/>
        <w:rPr>
          <w:rFonts w:ascii="Arial" w:hAnsi="Arial"/>
          <w:b/>
          <w:bCs/>
          <w:color w:val="595959"/>
          <w:sz w:val="20"/>
          <w:szCs w:val="20"/>
        </w:rPr>
      </w:pPr>
      <w:r w:rsidRPr="00B2550C">
        <w:rPr>
          <w:rFonts w:ascii="Arial" w:hAnsi="Arial"/>
          <w:color w:val="595959"/>
          <w:sz w:val="20"/>
          <w:szCs w:val="20"/>
        </w:rPr>
        <w:t>Value in million AED</w:t>
      </w:r>
    </w:p>
    <w:tbl>
      <w:tblPr>
        <w:tblW w:w="11430" w:type="dxa"/>
        <w:tblInd w:w="-1080" w:type="dxa"/>
        <w:tblLook w:val="04A0" w:firstRow="1" w:lastRow="0" w:firstColumn="1" w:lastColumn="0" w:noHBand="0" w:noVBand="1"/>
      </w:tblPr>
      <w:tblGrid>
        <w:gridCol w:w="2700"/>
        <w:gridCol w:w="1080"/>
        <w:gridCol w:w="1080"/>
        <w:gridCol w:w="1080"/>
        <w:gridCol w:w="1080"/>
        <w:gridCol w:w="1080"/>
        <w:gridCol w:w="1080"/>
        <w:gridCol w:w="1184"/>
        <w:gridCol w:w="1066"/>
      </w:tblGrid>
      <w:tr w:rsidR="00691911" w:rsidRPr="00B2550C" w14:paraId="26A209B0" w14:textId="77777777" w:rsidTr="00C372D9">
        <w:trPr>
          <w:trHeight w:val="350"/>
        </w:trPr>
        <w:tc>
          <w:tcPr>
            <w:tcW w:w="2700" w:type="dxa"/>
            <w:shd w:val="clear" w:color="auto" w:fill="D6A461" w:themeFill="text2"/>
            <w:noWrap/>
            <w:vAlign w:val="center"/>
            <w:hideMark/>
          </w:tcPr>
          <w:p w14:paraId="70524247" w14:textId="49FD6DA7"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Production measure</w:t>
            </w:r>
            <w:r>
              <w:rPr>
                <w:rFonts w:ascii="Tahoma" w:hAnsi="Tahoma" w:cs="Tahoma"/>
                <w:b/>
                <w:bCs/>
                <w:color w:val="FFFFFF"/>
                <w:sz w:val="20"/>
                <w:szCs w:val="20"/>
              </w:rPr>
              <w:br/>
              <w:t>Seasonally adjusted</w:t>
            </w:r>
          </w:p>
        </w:tc>
        <w:tc>
          <w:tcPr>
            <w:tcW w:w="1080" w:type="dxa"/>
            <w:shd w:val="clear" w:color="auto" w:fill="D6A461" w:themeFill="text2"/>
            <w:vAlign w:val="center"/>
          </w:tcPr>
          <w:p w14:paraId="1EC587BE" w14:textId="50EFEB7C" w:rsidR="00691911" w:rsidRPr="00B2550C"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Q2 2017</w:t>
            </w:r>
          </w:p>
        </w:tc>
        <w:tc>
          <w:tcPr>
            <w:tcW w:w="1080" w:type="dxa"/>
            <w:shd w:val="clear" w:color="auto" w:fill="D6A461" w:themeFill="text2"/>
            <w:vAlign w:val="center"/>
          </w:tcPr>
          <w:p w14:paraId="1AF557DF" w14:textId="23675CA5" w:rsidR="00691911" w:rsidRPr="00B2550C"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Q3 2017</w:t>
            </w:r>
          </w:p>
        </w:tc>
        <w:tc>
          <w:tcPr>
            <w:tcW w:w="1080" w:type="dxa"/>
            <w:shd w:val="clear" w:color="auto" w:fill="D6A461" w:themeFill="text2"/>
            <w:vAlign w:val="center"/>
          </w:tcPr>
          <w:p w14:paraId="5138C34D" w14:textId="48916607" w:rsidR="00691911" w:rsidRPr="00B2550C"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Q4 2017</w:t>
            </w:r>
          </w:p>
        </w:tc>
        <w:tc>
          <w:tcPr>
            <w:tcW w:w="1080" w:type="dxa"/>
            <w:shd w:val="clear" w:color="auto" w:fill="D6A461" w:themeFill="text2"/>
            <w:vAlign w:val="center"/>
          </w:tcPr>
          <w:p w14:paraId="09A95125" w14:textId="6EABA3C7" w:rsidR="00691911" w:rsidRPr="00B2550C"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Q1 2018</w:t>
            </w:r>
          </w:p>
        </w:tc>
        <w:tc>
          <w:tcPr>
            <w:tcW w:w="1080" w:type="dxa"/>
            <w:shd w:val="clear" w:color="auto" w:fill="D6A461" w:themeFill="text2"/>
            <w:vAlign w:val="center"/>
          </w:tcPr>
          <w:p w14:paraId="3F9AA8B2" w14:textId="0928B609"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Q2 2018</w:t>
            </w:r>
          </w:p>
        </w:tc>
        <w:tc>
          <w:tcPr>
            <w:tcW w:w="1080" w:type="dxa"/>
            <w:shd w:val="clear" w:color="auto" w:fill="D6A461" w:themeFill="text2"/>
            <w:vAlign w:val="center"/>
          </w:tcPr>
          <w:p w14:paraId="2B468D9B" w14:textId="0D8EDC81"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w:t>
            </w:r>
            <w:r>
              <w:rPr>
                <w:rFonts w:ascii="Tahoma" w:hAnsi="Tahoma" w:cs="Tahoma" w:hint="cs"/>
                <w:b/>
                <w:bCs/>
                <w:color w:val="FFFFFF"/>
                <w:sz w:val="20"/>
                <w:szCs w:val="20"/>
                <w:rtl/>
              </w:rPr>
              <w:t>3</w:t>
            </w:r>
            <w:r>
              <w:rPr>
                <w:rFonts w:ascii="Tahoma" w:hAnsi="Tahoma" w:cs="Tahoma"/>
                <w:b/>
                <w:bCs/>
                <w:color w:val="FFFFFF"/>
                <w:sz w:val="20"/>
                <w:szCs w:val="20"/>
              </w:rPr>
              <w:t xml:space="preserve"> 2018</w:t>
            </w:r>
          </w:p>
        </w:tc>
        <w:tc>
          <w:tcPr>
            <w:tcW w:w="1184" w:type="dxa"/>
            <w:shd w:val="clear" w:color="auto" w:fill="D6A461" w:themeFill="text2"/>
            <w:vAlign w:val="center"/>
          </w:tcPr>
          <w:p w14:paraId="4CB33E16" w14:textId="778C4A65"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w:t>
            </w:r>
            <w:r>
              <w:rPr>
                <w:rFonts w:ascii="Tahoma" w:hAnsi="Tahoma" w:cs="Tahoma" w:hint="cs"/>
                <w:b/>
                <w:bCs/>
                <w:color w:val="FFFFFF"/>
                <w:sz w:val="20"/>
                <w:szCs w:val="20"/>
                <w:rtl/>
              </w:rPr>
              <w:t>4</w:t>
            </w:r>
            <w:r>
              <w:rPr>
                <w:rFonts w:ascii="Tahoma" w:hAnsi="Tahoma" w:cs="Tahoma"/>
                <w:b/>
                <w:bCs/>
                <w:color w:val="FFFFFF"/>
                <w:sz w:val="20"/>
                <w:szCs w:val="20"/>
              </w:rPr>
              <w:t xml:space="preserve"> 2018</w:t>
            </w:r>
          </w:p>
        </w:tc>
        <w:tc>
          <w:tcPr>
            <w:tcW w:w="1066" w:type="dxa"/>
            <w:shd w:val="clear" w:color="auto" w:fill="D6A461" w:themeFill="text2"/>
            <w:vAlign w:val="center"/>
          </w:tcPr>
          <w:p w14:paraId="1361B679" w14:textId="04EBBF2C"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Q1 2019</w:t>
            </w:r>
          </w:p>
        </w:tc>
      </w:tr>
      <w:tr w:rsidR="00691911" w:rsidRPr="00B2550C" w14:paraId="47B18358" w14:textId="77777777" w:rsidTr="00F7014D">
        <w:trPr>
          <w:trHeight w:val="396"/>
        </w:trPr>
        <w:tc>
          <w:tcPr>
            <w:tcW w:w="2700" w:type="dxa"/>
            <w:shd w:val="clear" w:color="auto" w:fill="auto"/>
            <w:noWrap/>
            <w:vAlign w:val="center"/>
            <w:hideMark/>
          </w:tcPr>
          <w:p w14:paraId="315A7496" w14:textId="77777777" w:rsidR="00691911" w:rsidRPr="00B2550C" w:rsidRDefault="00691911" w:rsidP="00691911">
            <w:pPr>
              <w:spacing w:after="0" w:line="240" w:lineRule="auto"/>
              <w:rPr>
                <w:rFonts w:ascii="Arial" w:hAnsi="Arial"/>
                <w:color w:val="595959"/>
                <w:sz w:val="18"/>
                <w:szCs w:val="18"/>
              </w:rPr>
            </w:pPr>
            <w:r w:rsidRPr="00B2550C">
              <w:rPr>
                <w:rFonts w:ascii="Arial" w:hAnsi="Arial"/>
                <w:color w:val="595959"/>
                <w:sz w:val="18"/>
                <w:szCs w:val="18"/>
              </w:rPr>
              <w:t xml:space="preserve">Oil value added at current prices </w:t>
            </w:r>
          </w:p>
        </w:tc>
        <w:tc>
          <w:tcPr>
            <w:tcW w:w="1080" w:type="dxa"/>
            <w:tcBorders>
              <w:top w:val="nil"/>
              <w:left w:val="nil"/>
              <w:bottom w:val="nil"/>
              <w:right w:val="nil"/>
            </w:tcBorders>
            <w:shd w:val="clear" w:color="auto" w:fill="auto"/>
            <w:vAlign w:val="center"/>
          </w:tcPr>
          <w:p w14:paraId="76377B8D" w14:textId="488907F0"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64,614</w:t>
            </w:r>
          </w:p>
        </w:tc>
        <w:tc>
          <w:tcPr>
            <w:tcW w:w="1080" w:type="dxa"/>
            <w:tcBorders>
              <w:top w:val="nil"/>
              <w:left w:val="nil"/>
              <w:bottom w:val="nil"/>
              <w:right w:val="nil"/>
            </w:tcBorders>
            <w:shd w:val="clear" w:color="auto" w:fill="auto"/>
            <w:vAlign w:val="center"/>
          </w:tcPr>
          <w:p w14:paraId="498BC0FD" w14:textId="0FE4FD7D"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67,110</w:t>
            </w:r>
          </w:p>
        </w:tc>
        <w:tc>
          <w:tcPr>
            <w:tcW w:w="1080" w:type="dxa"/>
            <w:tcBorders>
              <w:top w:val="nil"/>
              <w:left w:val="nil"/>
              <w:bottom w:val="nil"/>
              <w:right w:val="nil"/>
            </w:tcBorders>
            <w:shd w:val="clear" w:color="auto" w:fill="auto"/>
            <w:vAlign w:val="center"/>
          </w:tcPr>
          <w:p w14:paraId="117791FD" w14:textId="6C78D186"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77,252</w:t>
            </w:r>
          </w:p>
        </w:tc>
        <w:tc>
          <w:tcPr>
            <w:tcW w:w="1080" w:type="dxa"/>
            <w:tcBorders>
              <w:top w:val="nil"/>
              <w:left w:val="nil"/>
              <w:bottom w:val="nil"/>
              <w:right w:val="nil"/>
            </w:tcBorders>
            <w:shd w:val="clear" w:color="auto" w:fill="auto"/>
            <w:vAlign w:val="center"/>
          </w:tcPr>
          <w:p w14:paraId="332855DA" w14:textId="275D5A94"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80,604</w:t>
            </w:r>
          </w:p>
        </w:tc>
        <w:tc>
          <w:tcPr>
            <w:tcW w:w="1080" w:type="dxa"/>
            <w:tcBorders>
              <w:top w:val="nil"/>
              <w:left w:val="nil"/>
              <w:bottom w:val="nil"/>
              <w:right w:val="nil"/>
            </w:tcBorders>
            <w:shd w:val="clear" w:color="auto" w:fill="auto"/>
            <w:vAlign w:val="center"/>
          </w:tcPr>
          <w:p w14:paraId="2D7255DA" w14:textId="1F77F118"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92,331</w:t>
            </w:r>
          </w:p>
        </w:tc>
        <w:tc>
          <w:tcPr>
            <w:tcW w:w="1080" w:type="dxa"/>
            <w:tcBorders>
              <w:top w:val="nil"/>
              <w:left w:val="nil"/>
              <w:bottom w:val="nil"/>
              <w:right w:val="nil"/>
            </w:tcBorders>
            <w:shd w:val="clear" w:color="auto" w:fill="auto"/>
            <w:vAlign w:val="center"/>
          </w:tcPr>
          <w:p w14:paraId="165454E1" w14:textId="6C166832"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100,254</w:t>
            </w:r>
          </w:p>
        </w:tc>
        <w:tc>
          <w:tcPr>
            <w:tcW w:w="1184" w:type="dxa"/>
            <w:tcBorders>
              <w:top w:val="nil"/>
              <w:left w:val="nil"/>
              <w:bottom w:val="nil"/>
              <w:right w:val="nil"/>
            </w:tcBorders>
            <w:shd w:val="clear" w:color="auto" w:fill="auto"/>
            <w:vAlign w:val="center"/>
          </w:tcPr>
          <w:p w14:paraId="3C48F68F" w14:textId="7B5E6460"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102,746</w:t>
            </w:r>
          </w:p>
        </w:tc>
        <w:tc>
          <w:tcPr>
            <w:tcW w:w="1066" w:type="dxa"/>
            <w:tcBorders>
              <w:top w:val="nil"/>
              <w:left w:val="nil"/>
              <w:bottom w:val="nil"/>
              <w:right w:val="nil"/>
            </w:tcBorders>
            <w:shd w:val="clear" w:color="auto" w:fill="auto"/>
            <w:vAlign w:val="center"/>
          </w:tcPr>
          <w:p w14:paraId="562795FA" w14:textId="733C36F1" w:rsidR="00691911" w:rsidRPr="00B16997" w:rsidRDefault="00691911" w:rsidP="00691911">
            <w:pPr>
              <w:jc w:val="right"/>
              <w:rPr>
                <w:rFonts w:ascii="Tahoma" w:hAnsi="Tahoma" w:cs="Tahoma"/>
                <w:color w:val="595959"/>
                <w:sz w:val="18"/>
                <w:szCs w:val="18"/>
              </w:rPr>
            </w:pPr>
            <w:r>
              <w:rPr>
                <w:rFonts w:ascii="Tahoma" w:hAnsi="Tahoma" w:cs="Tahoma"/>
                <w:color w:val="6D6E71"/>
                <w:sz w:val="20"/>
                <w:szCs w:val="20"/>
              </w:rPr>
              <w:t>89,918</w:t>
            </w:r>
          </w:p>
        </w:tc>
      </w:tr>
      <w:tr w:rsidR="00691911" w:rsidRPr="00B2550C" w14:paraId="3870752A" w14:textId="77777777" w:rsidTr="00F7014D">
        <w:trPr>
          <w:trHeight w:val="396"/>
        </w:trPr>
        <w:tc>
          <w:tcPr>
            <w:tcW w:w="2700" w:type="dxa"/>
            <w:shd w:val="clear" w:color="auto" w:fill="auto"/>
            <w:noWrap/>
            <w:vAlign w:val="center"/>
            <w:hideMark/>
          </w:tcPr>
          <w:p w14:paraId="0008938D" w14:textId="77777777" w:rsidR="00691911" w:rsidRPr="00B2550C" w:rsidRDefault="00691911" w:rsidP="00691911">
            <w:pPr>
              <w:spacing w:after="0" w:line="240" w:lineRule="auto"/>
              <w:rPr>
                <w:rFonts w:ascii="Arial" w:hAnsi="Arial"/>
                <w:color w:val="595959"/>
                <w:sz w:val="18"/>
                <w:szCs w:val="18"/>
              </w:rPr>
            </w:pPr>
            <w:r w:rsidRPr="00B2550C">
              <w:rPr>
                <w:rFonts w:ascii="Arial" w:hAnsi="Arial"/>
                <w:color w:val="595959"/>
                <w:sz w:val="18"/>
                <w:szCs w:val="18"/>
              </w:rPr>
              <w:t xml:space="preserve">Non-oil value added at current prices </w:t>
            </w:r>
          </w:p>
        </w:tc>
        <w:tc>
          <w:tcPr>
            <w:tcW w:w="1080" w:type="dxa"/>
            <w:tcBorders>
              <w:top w:val="nil"/>
              <w:left w:val="nil"/>
              <w:bottom w:val="nil"/>
              <w:right w:val="nil"/>
            </w:tcBorders>
            <w:shd w:val="clear" w:color="auto" w:fill="auto"/>
            <w:vAlign w:val="center"/>
          </w:tcPr>
          <w:p w14:paraId="64112DC3" w14:textId="2ECD5EC5"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132,219</w:t>
            </w:r>
          </w:p>
        </w:tc>
        <w:tc>
          <w:tcPr>
            <w:tcW w:w="1080" w:type="dxa"/>
            <w:tcBorders>
              <w:top w:val="nil"/>
              <w:left w:val="nil"/>
              <w:bottom w:val="nil"/>
              <w:right w:val="nil"/>
            </w:tcBorders>
            <w:shd w:val="clear" w:color="auto" w:fill="auto"/>
            <w:vAlign w:val="center"/>
          </w:tcPr>
          <w:p w14:paraId="02156BC2" w14:textId="3F296787"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134,414</w:t>
            </w:r>
          </w:p>
        </w:tc>
        <w:tc>
          <w:tcPr>
            <w:tcW w:w="1080" w:type="dxa"/>
            <w:tcBorders>
              <w:top w:val="nil"/>
              <w:left w:val="nil"/>
              <w:bottom w:val="nil"/>
              <w:right w:val="nil"/>
            </w:tcBorders>
            <w:shd w:val="clear" w:color="auto" w:fill="auto"/>
            <w:vAlign w:val="center"/>
          </w:tcPr>
          <w:p w14:paraId="0AD3B165" w14:textId="613C0CD3"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137,944</w:t>
            </w:r>
          </w:p>
        </w:tc>
        <w:tc>
          <w:tcPr>
            <w:tcW w:w="1080" w:type="dxa"/>
            <w:tcBorders>
              <w:top w:val="nil"/>
              <w:left w:val="nil"/>
              <w:bottom w:val="nil"/>
              <w:right w:val="nil"/>
            </w:tcBorders>
            <w:shd w:val="clear" w:color="auto" w:fill="auto"/>
            <w:vAlign w:val="center"/>
          </w:tcPr>
          <w:p w14:paraId="764920D8" w14:textId="355DB458"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138,314</w:t>
            </w:r>
          </w:p>
        </w:tc>
        <w:tc>
          <w:tcPr>
            <w:tcW w:w="1080" w:type="dxa"/>
            <w:tcBorders>
              <w:top w:val="nil"/>
              <w:left w:val="nil"/>
              <w:bottom w:val="nil"/>
              <w:right w:val="nil"/>
            </w:tcBorders>
            <w:shd w:val="clear" w:color="auto" w:fill="auto"/>
            <w:vAlign w:val="center"/>
          </w:tcPr>
          <w:p w14:paraId="6E7DF54B" w14:textId="2E0956EE"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139,335</w:t>
            </w:r>
          </w:p>
        </w:tc>
        <w:tc>
          <w:tcPr>
            <w:tcW w:w="1080" w:type="dxa"/>
            <w:tcBorders>
              <w:top w:val="nil"/>
              <w:left w:val="nil"/>
              <w:bottom w:val="nil"/>
              <w:right w:val="nil"/>
            </w:tcBorders>
            <w:shd w:val="clear" w:color="auto" w:fill="auto"/>
            <w:vAlign w:val="center"/>
          </w:tcPr>
          <w:p w14:paraId="71383275" w14:textId="5FDB7B68"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137,293</w:t>
            </w:r>
          </w:p>
        </w:tc>
        <w:tc>
          <w:tcPr>
            <w:tcW w:w="1184" w:type="dxa"/>
            <w:tcBorders>
              <w:top w:val="nil"/>
              <w:left w:val="nil"/>
              <w:bottom w:val="nil"/>
              <w:right w:val="nil"/>
            </w:tcBorders>
            <w:shd w:val="clear" w:color="auto" w:fill="auto"/>
            <w:vAlign w:val="center"/>
          </w:tcPr>
          <w:p w14:paraId="13F4A838" w14:textId="4120B3E6"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140,158</w:t>
            </w:r>
          </w:p>
        </w:tc>
        <w:tc>
          <w:tcPr>
            <w:tcW w:w="1066" w:type="dxa"/>
            <w:tcBorders>
              <w:top w:val="nil"/>
              <w:left w:val="nil"/>
              <w:bottom w:val="nil"/>
              <w:right w:val="nil"/>
            </w:tcBorders>
            <w:shd w:val="clear" w:color="auto" w:fill="auto"/>
            <w:vAlign w:val="center"/>
          </w:tcPr>
          <w:p w14:paraId="2BE62D9C" w14:textId="7D17DC94" w:rsidR="00691911" w:rsidRPr="00B16997" w:rsidRDefault="00691911" w:rsidP="00691911">
            <w:pPr>
              <w:jc w:val="right"/>
              <w:rPr>
                <w:rFonts w:ascii="Tahoma" w:hAnsi="Tahoma" w:cs="Tahoma"/>
                <w:color w:val="595959"/>
                <w:sz w:val="18"/>
                <w:szCs w:val="18"/>
              </w:rPr>
            </w:pPr>
            <w:r>
              <w:rPr>
                <w:rFonts w:ascii="Tahoma" w:hAnsi="Tahoma" w:cs="Tahoma"/>
                <w:color w:val="6D6E71"/>
                <w:sz w:val="20"/>
                <w:szCs w:val="20"/>
              </w:rPr>
              <w:t>136,121</w:t>
            </w:r>
          </w:p>
        </w:tc>
      </w:tr>
      <w:tr w:rsidR="00691911" w:rsidRPr="009C4116" w14:paraId="1DB7C3F9" w14:textId="77777777" w:rsidTr="00F7014D">
        <w:trPr>
          <w:trHeight w:val="350"/>
        </w:trPr>
        <w:tc>
          <w:tcPr>
            <w:tcW w:w="2700" w:type="dxa"/>
            <w:tcBorders>
              <w:bottom w:val="single" w:sz="4" w:space="0" w:color="D6A461" w:themeColor="text2"/>
            </w:tcBorders>
            <w:shd w:val="clear" w:color="auto" w:fill="D9D9D9"/>
            <w:noWrap/>
            <w:vAlign w:val="center"/>
            <w:hideMark/>
          </w:tcPr>
          <w:p w14:paraId="4D4BAEA3" w14:textId="77777777" w:rsidR="00691911" w:rsidRPr="00C65FF4" w:rsidRDefault="00691911" w:rsidP="00691911">
            <w:pPr>
              <w:spacing w:after="0" w:line="240" w:lineRule="auto"/>
              <w:rPr>
                <w:rFonts w:ascii="Arial" w:hAnsi="Arial"/>
                <w:b/>
                <w:bCs/>
                <w:color w:val="595959"/>
                <w:sz w:val="18"/>
                <w:szCs w:val="18"/>
              </w:rPr>
            </w:pPr>
            <w:r w:rsidRPr="00C65FF4">
              <w:rPr>
                <w:rFonts w:ascii="Arial" w:hAnsi="Arial"/>
                <w:b/>
                <w:bCs/>
                <w:color w:val="595959"/>
                <w:sz w:val="18"/>
                <w:szCs w:val="18"/>
              </w:rPr>
              <w:t xml:space="preserve">GDP at current prices </w:t>
            </w:r>
          </w:p>
        </w:tc>
        <w:tc>
          <w:tcPr>
            <w:tcW w:w="1080" w:type="dxa"/>
            <w:tcBorders>
              <w:top w:val="nil"/>
              <w:left w:val="nil"/>
              <w:bottom w:val="single" w:sz="4" w:space="0" w:color="D6A461"/>
              <w:right w:val="nil"/>
            </w:tcBorders>
            <w:shd w:val="clear" w:color="000000" w:fill="D9D9D9"/>
            <w:vAlign w:val="center"/>
          </w:tcPr>
          <w:p w14:paraId="6B779002" w14:textId="51EA289C"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196,833</w:t>
            </w:r>
          </w:p>
        </w:tc>
        <w:tc>
          <w:tcPr>
            <w:tcW w:w="1080" w:type="dxa"/>
            <w:tcBorders>
              <w:top w:val="nil"/>
              <w:left w:val="nil"/>
              <w:bottom w:val="single" w:sz="4" w:space="0" w:color="D6A461"/>
              <w:right w:val="nil"/>
            </w:tcBorders>
            <w:shd w:val="clear" w:color="000000" w:fill="D9D9D9"/>
            <w:vAlign w:val="center"/>
          </w:tcPr>
          <w:p w14:paraId="64DC9309" w14:textId="643D9F9C"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201,523</w:t>
            </w:r>
          </w:p>
        </w:tc>
        <w:tc>
          <w:tcPr>
            <w:tcW w:w="1080" w:type="dxa"/>
            <w:tcBorders>
              <w:top w:val="nil"/>
              <w:left w:val="nil"/>
              <w:bottom w:val="single" w:sz="4" w:space="0" w:color="D6A461"/>
              <w:right w:val="nil"/>
            </w:tcBorders>
            <w:shd w:val="clear" w:color="000000" w:fill="D9D9D9"/>
            <w:vAlign w:val="center"/>
          </w:tcPr>
          <w:p w14:paraId="7D01B946" w14:textId="2C0EF7BD"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215,196</w:t>
            </w:r>
          </w:p>
        </w:tc>
        <w:tc>
          <w:tcPr>
            <w:tcW w:w="1080" w:type="dxa"/>
            <w:tcBorders>
              <w:top w:val="nil"/>
              <w:left w:val="nil"/>
              <w:bottom w:val="single" w:sz="4" w:space="0" w:color="D6A461"/>
              <w:right w:val="nil"/>
            </w:tcBorders>
            <w:shd w:val="clear" w:color="000000" w:fill="D9D9D9"/>
            <w:vAlign w:val="center"/>
          </w:tcPr>
          <w:p w14:paraId="462DC00B" w14:textId="7E487E41"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218,918</w:t>
            </w:r>
          </w:p>
        </w:tc>
        <w:tc>
          <w:tcPr>
            <w:tcW w:w="1080" w:type="dxa"/>
            <w:tcBorders>
              <w:top w:val="nil"/>
              <w:left w:val="nil"/>
              <w:bottom w:val="single" w:sz="4" w:space="0" w:color="D6A461"/>
              <w:right w:val="nil"/>
            </w:tcBorders>
            <w:shd w:val="clear" w:color="000000" w:fill="D9D9D9"/>
            <w:vAlign w:val="center"/>
          </w:tcPr>
          <w:p w14:paraId="642D4B86" w14:textId="7D180127"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231,665</w:t>
            </w:r>
          </w:p>
        </w:tc>
        <w:tc>
          <w:tcPr>
            <w:tcW w:w="1080" w:type="dxa"/>
            <w:tcBorders>
              <w:top w:val="nil"/>
              <w:left w:val="nil"/>
              <w:bottom w:val="single" w:sz="4" w:space="0" w:color="D6A461"/>
              <w:right w:val="nil"/>
            </w:tcBorders>
            <w:shd w:val="clear" w:color="000000" w:fill="D9D9D9"/>
            <w:vAlign w:val="center"/>
          </w:tcPr>
          <w:p w14:paraId="38B7323D" w14:textId="6E11DE64"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237,547</w:t>
            </w:r>
          </w:p>
        </w:tc>
        <w:tc>
          <w:tcPr>
            <w:tcW w:w="1184" w:type="dxa"/>
            <w:tcBorders>
              <w:top w:val="nil"/>
              <w:left w:val="nil"/>
              <w:bottom w:val="single" w:sz="4" w:space="0" w:color="D6A461"/>
              <w:right w:val="nil"/>
            </w:tcBorders>
            <w:shd w:val="clear" w:color="000000" w:fill="D9D9D9"/>
            <w:vAlign w:val="center"/>
          </w:tcPr>
          <w:p w14:paraId="670F30D7" w14:textId="567C5CF3"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242,904</w:t>
            </w:r>
          </w:p>
        </w:tc>
        <w:tc>
          <w:tcPr>
            <w:tcW w:w="1066" w:type="dxa"/>
            <w:tcBorders>
              <w:top w:val="nil"/>
              <w:left w:val="nil"/>
              <w:bottom w:val="single" w:sz="4" w:space="0" w:color="D6A461"/>
              <w:right w:val="nil"/>
            </w:tcBorders>
            <w:shd w:val="clear" w:color="000000" w:fill="D9D9D9"/>
            <w:vAlign w:val="center"/>
          </w:tcPr>
          <w:p w14:paraId="4CD18A69" w14:textId="2AD199C5" w:rsidR="00691911" w:rsidRPr="00B16997" w:rsidRDefault="00691911" w:rsidP="00691911">
            <w:pPr>
              <w:bidi/>
              <w:rPr>
                <w:rFonts w:ascii="Tahoma" w:hAnsi="Tahoma" w:cs="Tahoma"/>
                <w:b/>
                <w:bCs/>
                <w:color w:val="595959"/>
                <w:sz w:val="20"/>
                <w:szCs w:val="20"/>
              </w:rPr>
            </w:pPr>
            <w:r>
              <w:rPr>
                <w:rFonts w:ascii="Tahoma" w:hAnsi="Tahoma" w:cs="Tahoma"/>
                <w:b/>
                <w:bCs/>
                <w:color w:val="6D6E71"/>
                <w:sz w:val="20"/>
                <w:szCs w:val="20"/>
                <w:rtl/>
              </w:rPr>
              <w:t>226,039</w:t>
            </w:r>
          </w:p>
        </w:tc>
      </w:tr>
      <w:tr w:rsidR="00691911" w:rsidRPr="00B2550C" w14:paraId="1ABFD916" w14:textId="77777777" w:rsidTr="00F7014D">
        <w:trPr>
          <w:trHeight w:val="270"/>
        </w:trPr>
        <w:tc>
          <w:tcPr>
            <w:tcW w:w="2700" w:type="dxa"/>
            <w:tcBorders>
              <w:top w:val="single" w:sz="4" w:space="0" w:color="D6A461" w:themeColor="text2"/>
            </w:tcBorders>
            <w:shd w:val="clear" w:color="auto" w:fill="auto"/>
            <w:noWrap/>
            <w:vAlign w:val="center"/>
            <w:hideMark/>
          </w:tcPr>
          <w:p w14:paraId="2DE5FB87" w14:textId="77777777" w:rsidR="00691911" w:rsidRPr="00B2550C" w:rsidRDefault="00691911" w:rsidP="00691911">
            <w:pPr>
              <w:spacing w:after="0" w:line="240" w:lineRule="auto"/>
              <w:rPr>
                <w:rFonts w:ascii="Arial" w:hAnsi="Arial"/>
                <w:color w:val="595959"/>
                <w:sz w:val="18"/>
                <w:szCs w:val="18"/>
                <w:rtl/>
              </w:rPr>
            </w:pPr>
            <w:r w:rsidRPr="00B2550C">
              <w:rPr>
                <w:rFonts w:ascii="Arial" w:hAnsi="Arial"/>
                <w:color w:val="595959"/>
                <w:sz w:val="18"/>
                <w:szCs w:val="18"/>
              </w:rPr>
              <w:t>Oil value added at constant 2007 prices</w:t>
            </w:r>
          </w:p>
        </w:tc>
        <w:tc>
          <w:tcPr>
            <w:tcW w:w="1080" w:type="dxa"/>
            <w:tcBorders>
              <w:top w:val="nil"/>
              <w:left w:val="nil"/>
              <w:bottom w:val="nil"/>
              <w:right w:val="nil"/>
            </w:tcBorders>
            <w:shd w:val="clear" w:color="auto" w:fill="auto"/>
            <w:vAlign w:val="center"/>
          </w:tcPr>
          <w:p w14:paraId="6AEF3C3D" w14:textId="2790E138"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94,884</w:t>
            </w:r>
          </w:p>
        </w:tc>
        <w:tc>
          <w:tcPr>
            <w:tcW w:w="1080" w:type="dxa"/>
            <w:tcBorders>
              <w:top w:val="nil"/>
              <w:left w:val="nil"/>
              <w:bottom w:val="nil"/>
              <w:right w:val="nil"/>
            </w:tcBorders>
            <w:shd w:val="clear" w:color="auto" w:fill="auto"/>
            <w:vAlign w:val="center"/>
          </w:tcPr>
          <w:p w14:paraId="76E6D3F6" w14:textId="7C256B0A"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93,880</w:t>
            </w:r>
          </w:p>
        </w:tc>
        <w:tc>
          <w:tcPr>
            <w:tcW w:w="1080" w:type="dxa"/>
            <w:tcBorders>
              <w:top w:val="nil"/>
              <w:left w:val="nil"/>
              <w:bottom w:val="nil"/>
              <w:right w:val="nil"/>
            </w:tcBorders>
            <w:shd w:val="clear" w:color="auto" w:fill="auto"/>
            <w:vAlign w:val="center"/>
          </w:tcPr>
          <w:p w14:paraId="105E827A" w14:textId="04940A87"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93,269</w:t>
            </w:r>
          </w:p>
        </w:tc>
        <w:tc>
          <w:tcPr>
            <w:tcW w:w="1080" w:type="dxa"/>
            <w:tcBorders>
              <w:top w:val="nil"/>
              <w:left w:val="nil"/>
              <w:bottom w:val="nil"/>
              <w:right w:val="nil"/>
            </w:tcBorders>
            <w:shd w:val="clear" w:color="auto" w:fill="auto"/>
            <w:vAlign w:val="center"/>
          </w:tcPr>
          <w:p w14:paraId="14C02A69" w14:textId="33342E0D"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94,655</w:t>
            </w:r>
          </w:p>
        </w:tc>
        <w:tc>
          <w:tcPr>
            <w:tcW w:w="1080" w:type="dxa"/>
            <w:tcBorders>
              <w:top w:val="nil"/>
              <w:left w:val="nil"/>
              <w:bottom w:val="nil"/>
              <w:right w:val="nil"/>
            </w:tcBorders>
            <w:shd w:val="clear" w:color="auto" w:fill="auto"/>
            <w:vAlign w:val="center"/>
          </w:tcPr>
          <w:p w14:paraId="2B27B871" w14:textId="2A23A93E"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96,075</w:t>
            </w:r>
          </w:p>
        </w:tc>
        <w:tc>
          <w:tcPr>
            <w:tcW w:w="1080" w:type="dxa"/>
            <w:tcBorders>
              <w:top w:val="nil"/>
              <w:left w:val="nil"/>
              <w:bottom w:val="nil"/>
              <w:right w:val="nil"/>
            </w:tcBorders>
            <w:shd w:val="clear" w:color="auto" w:fill="auto"/>
            <w:vAlign w:val="center"/>
          </w:tcPr>
          <w:p w14:paraId="2DDB86AB" w14:textId="37FE379A"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98,426</w:t>
            </w:r>
          </w:p>
        </w:tc>
        <w:tc>
          <w:tcPr>
            <w:tcW w:w="1184" w:type="dxa"/>
            <w:tcBorders>
              <w:top w:val="nil"/>
              <w:left w:val="nil"/>
              <w:bottom w:val="nil"/>
              <w:right w:val="nil"/>
            </w:tcBorders>
            <w:shd w:val="clear" w:color="auto" w:fill="auto"/>
            <w:vAlign w:val="center"/>
          </w:tcPr>
          <w:p w14:paraId="59CA09C3" w14:textId="7980855D" w:rsidR="00691911" w:rsidRPr="00CB2A80" w:rsidRDefault="00691911" w:rsidP="00691911">
            <w:pPr>
              <w:jc w:val="right"/>
              <w:rPr>
                <w:rFonts w:ascii="Tahoma" w:hAnsi="Tahoma" w:cs="Tahoma"/>
                <w:color w:val="595959"/>
                <w:sz w:val="20"/>
                <w:szCs w:val="20"/>
              </w:rPr>
            </w:pPr>
            <w:r>
              <w:rPr>
                <w:rFonts w:ascii="Tahoma" w:hAnsi="Tahoma" w:cs="Tahoma"/>
                <w:color w:val="6D6E71"/>
                <w:sz w:val="20"/>
                <w:szCs w:val="20"/>
              </w:rPr>
              <w:t>101,598</w:t>
            </w:r>
          </w:p>
        </w:tc>
        <w:tc>
          <w:tcPr>
            <w:tcW w:w="1066" w:type="dxa"/>
            <w:tcBorders>
              <w:top w:val="nil"/>
              <w:left w:val="nil"/>
              <w:bottom w:val="nil"/>
              <w:right w:val="nil"/>
            </w:tcBorders>
            <w:shd w:val="clear" w:color="auto" w:fill="auto"/>
            <w:vAlign w:val="center"/>
          </w:tcPr>
          <w:p w14:paraId="36E56E29" w14:textId="42166585" w:rsidR="00691911" w:rsidRPr="00B16997" w:rsidRDefault="00691911" w:rsidP="00691911">
            <w:pPr>
              <w:jc w:val="right"/>
              <w:rPr>
                <w:rFonts w:ascii="Tahoma" w:hAnsi="Tahoma" w:cs="Tahoma"/>
                <w:color w:val="595959"/>
                <w:sz w:val="18"/>
                <w:szCs w:val="18"/>
              </w:rPr>
            </w:pPr>
            <w:r>
              <w:rPr>
                <w:rFonts w:ascii="Tahoma" w:hAnsi="Tahoma" w:cs="Tahoma"/>
                <w:color w:val="6D6E71"/>
                <w:sz w:val="20"/>
                <w:szCs w:val="20"/>
              </w:rPr>
              <w:t>106,809</w:t>
            </w:r>
          </w:p>
        </w:tc>
      </w:tr>
      <w:tr w:rsidR="00691911" w:rsidRPr="00B2550C" w14:paraId="3D49D4C1" w14:textId="77777777" w:rsidTr="00F7014D">
        <w:trPr>
          <w:trHeight w:val="316"/>
        </w:trPr>
        <w:tc>
          <w:tcPr>
            <w:tcW w:w="2700" w:type="dxa"/>
            <w:shd w:val="clear" w:color="auto" w:fill="auto"/>
            <w:noWrap/>
            <w:vAlign w:val="center"/>
            <w:hideMark/>
          </w:tcPr>
          <w:p w14:paraId="4CF7F1B1" w14:textId="77777777" w:rsidR="00691911" w:rsidRPr="00B2550C" w:rsidRDefault="00691911" w:rsidP="00691911">
            <w:pPr>
              <w:spacing w:after="0" w:line="240" w:lineRule="auto"/>
              <w:rPr>
                <w:rFonts w:ascii="Arial" w:hAnsi="Arial"/>
                <w:color w:val="595959"/>
                <w:sz w:val="18"/>
                <w:szCs w:val="18"/>
              </w:rPr>
            </w:pPr>
            <w:r w:rsidRPr="00B2550C">
              <w:rPr>
                <w:rFonts w:ascii="Arial" w:hAnsi="Arial"/>
                <w:color w:val="595959"/>
                <w:sz w:val="18"/>
                <w:szCs w:val="18"/>
              </w:rPr>
              <w:t xml:space="preserve">Non-oil value added at constant 2007 prices </w:t>
            </w:r>
          </w:p>
        </w:tc>
        <w:tc>
          <w:tcPr>
            <w:tcW w:w="1080" w:type="dxa"/>
            <w:tcBorders>
              <w:top w:val="nil"/>
              <w:left w:val="nil"/>
              <w:bottom w:val="nil"/>
              <w:right w:val="nil"/>
            </w:tcBorders>
            <w:shd w:val="clear" w:color="auto" w:fill="auto"/>
            <w:vAlign w:val="center"/>
          </w:tcPr>
          <w:p w14:paraId="5EFFDED4" w14:textId="73C61BBA" w:rsidR="00691911" w:rsidRPr="00022F96" w:rsidRDefault="00691911" w:rsidP="00691911">
            <w:pPr>
              <w:jc w:val="right"/>
              <w:rPr>
                <w:rFonts w:ascii="Tahoma" w:hAnsi="Tahoma" w:cs="Tahoma"/>
                <w:color w:val="595959"/>
                <w:sz w:val="18"/>
                <w:szCs w:val="18"/>
              </w:rPr>
            </w:pPr>
            <w:r>
              <w:rPr>
                <w:rFonts w:ascii="Tahoma" w:hAnsi="Tahoma" w:cs="Tahoma"/>
                <w:color w:val="6D6E71"/>
                <w:sz w:val="20"/>
                <w:szCs w:val="20"/>
              </w:rPr>
              <w:t>100,292</w:t>
            </w:r>
          </w:p>
        </w:tc>
        <w:tc>
          <w:tcPr>
            <w:tcW w:w="1080" w:type="dxa"/>
            <w:tcBorders>
              <w:top w:val="nil"/>
              <w:left w:val="nil"/>
              <w:bottom w:val="nil"/>
              <w:right w:val="nil"/>
            </w:tcBorders>
            <w:shd w:val="clear" w:color="auto" w:fill="auto"/>
            <w:vAlign w:val="center"/>
          </w:tcPr>
          <w:p w14:paraId="19144874" w14:textId="5680E04C" w:rsidR="00691911" w:rsidRPr="00022F96" w:rsidRDefault="00691911" w:rsidP="00691911">
            <w:pPr>
              <w:jc w:val="right"/>
              <w:rPr>
                <w:rFonts w:ascii="Tahoma" w:hAnsi="Tahoma" w:cs="Tahoma"/>
                <w:color w:val="595959"/>
                <w:sz w:val="18"/>
                <w:szCs w:val="18"/>
              </w:rPr>
            </w:pPr>
            <w:r>
              <w:rPr>
                <w:rFonts w:ascii="Tahoma" w:hAnsi="Tahoma" w:cs="Tahoma"/>
                <w:color w:val="6D6E71"/>
                <w:sz w:val="20"/>
                <w:szCs w:val="20"/>
              </w:rPr>
              <w:t>101,353</w:t>
            </w:r>
          </w:p>
        </w:tc>
        <w:tc>
          <w:tcPr>
            <w:tcW w:w="1080" w:type="dxa"/>
            <w:tcBorders>
              <w:top w:val="nil"/>
              <w:left w:val="nil"/>
              <w:bottom w:val="nil"/>
              <w:right w:val="nil"/>
            </w:tcBorders>
            <w:shd w:val="clear" w:color="auto" w:fill="auto"/>
            <w:vAlign w:val="center"/>
          </w:tcPr>
          <w:p w14:paraId="3A2C5106" w14:textId="3B39C595" w:rsidR="00691911" w:rsidRPr="00022F96" w:rsidRDefault="00691911" w:rsidP="00691911">
            <w:pPr>
              <w:jc w:val="right"/>
              <w:rPr>
                <w:rFonts w:ascii="Tahoma" w:hAnsi="Tahoma" w:cs="Tahoma"/>
                <w:color w:val="595959"/>
                <w:sz w:val="18"/>
                <w:szCs w:val="18"/>
              </w:rPr>
            </w:pPr>
            <w:r>
              <w:rPr>
                <w:rFonts w:ascii="Tahoma" w:hAnsi="Tahoma" w:cs="Tahoma"/>
                <w:color w:val="6D6E71"/>
                <w:sz w:val="20"/>
                <w:szCs w:val="20"/>
              </w:rPr>
              <w:t>102,670</w:t>
            </w:r>
          </w:p>
        </w:tc>
        <w:tc>
          <w:tcPr>
            <w:tcW w:w="1080" w:type="dxa"/>
            <w:tcBorders>
              <w:top w:val="nil"/>
              <w:left w:val="nil"/>
              <w:bottom w:val="nil"/>
              <w:right w:val="nil"/>
            </w:tcBorders>
            <w:shd w:val="clear" w:color="auto" w:fill="auto"/>
            <w:vAlign w:val="center"/>
          </w:tcPr>
          <w:p w14:paraId="512D2693" w14:textId="4EE77F1F" w:rsidR="00691911" w:rsidRPr="00022F96" w:rsidRDefault="00691911" w:rsidP="00691911">
            <w:pPr>
              <w:jc w:val="right"/>
              <w:rPr>
                <w:rFonts w:ascii="Tahoma" w:hAnsi="Tahoma" w:cs="Tahoma"/>
                <w:color w:val="595959"/>
                <w:sz w:val="18"/>
                <w:szCs w:val="18"/>
              </w:rPr>
            </w:pPr>
            <w:r>
              <w:rPr>
                <w:rFonts w:ascii="Tahoma" w:hAnsi="Tahoma" w:cs="Tahoma"/>
                <w:color w:val="6D6E71"/>
                <w:sz w:val="20"/>
                <w:szCs w:val="20"/>
              </w:rPr>
              <w:t>101,336</w:t>
            </w:r>
          </w:p>
        </w:tc>
        <w:tc>
          <w:tcPr>
            <w:tcW w:w="1080" w:type="dxa"/>
            <w:tcBorders>
              <w:top w:val="nil"/>
              <w:left w:val="nil"/>
              <w:bottom w:val="nil"/>
              <w:right w:val="nil"/>
            </w:tcBorders>
            <w:shd w:val="clear" w:color="auto" w:fill="auto"/>
            <w:vAlign w:val="center"/>
          </w:tcPr>
          <w:p w14:paraId="4C2DB59C" w14:textId="28F0986B" w:rsidR="00691911" w:rsidRPr="00022F96" w:rsidRDefault="00691911" w:rsidP="00691911">
            <w:pPr>
              <w:jc w:val="right"/>
              <w:rPr>
                <w:rFonts w:ascii="Tahoma" w:hAnsi="Tahoma" w:cs="Tahoma"/>
                <w:color w:val="595959"/>
                <w:sz w:val="18"/>
                <w:szCs w:val="18"/>
              </w:rPr>
            </w:pPr>
            <w:r>
              <w:rPr>
                <w:rFonts w:ascii="Tahoma" w:hAnsi="Tahoma" w:cs="Tahoma"/>
                <w:color w:val="6D6E71"/>
                <w:sz w:val="20"/>
                <w:szCs w:val="20"/>
              </w:rPr>
              <w:t>103,267</w:t>
            </w:r>
          </w:p>
        </w:tc>
        <w:tc>
          <w:tcPr>
            <w:tcW w:w="1080" w:type="dxa"/>
            <w:tcBorders>
              <w:top w:val="nil"/>
              <w:left w:val="nil"/>
              <w:bottom w:val="nil"/>
              <w:right w:val="nil"/>
            </w:tcBorders>
            <w:shd w:val="clear" w:color="auto" w:fill="auto"/>
            <w:vAlign w:val="center"/>
          </w:tcPr>
          <w:p w14:paraId="109D0435" w14:textId="68468CD6" w:rsidR="00691911" w:rsidRPr="00022F96" w:rsidRDefault="00691911" w:rsidP="00691911">
            <w:pPr>
              <w:jc w:val="right"/>
              <w:rPr>
                <w:rFonts w:ascii="Tahoma" w:hAnsi="Tahoma" w:cs="Tahoma"/>
                <w:color w:val="595959"/>
                <w:sz w:val="18"/>
                <w:szCs w:val="18"/>
              </w:rPr>
            </w:pPr>
            <w:r>
              <w:rPr>
                <w:rFonts w:ascii="Tahoma" w:hAnsi="Tahoma" w:cs="Tahoma"/>
                <w:color w:val="6D6E71"/>
                <w:sz w:val="20"/>
                <w:szCs w:val="20"/>
              </w:rPr>
              <w:t>100,334</w:t>
            </w:r>
          </w:p>
        </w:tc>
        <w:tc>
          <w:tcPr>
            <w:tcW w:w="1184" w:type="dxa"/>
            <w:tcBorders>
              <w:top w:val="nil"/>
              <w:left w:val="nil"/>
              <w:bottom w:val="nil"/>
              <w:right w:val="nil"/>
            </w:tcBorders>
            <w:shd w:val="clear" w:color="auto" w:fill="auto"/>
            <w:vAlign w:val="center"/>
          </w:tcPr>
          <w:p w14:paraId="72B71342" w14:textId="0EA90A35" w:rsidR="00691911" w:rsidRPr="00022F96" w:rsidRDefault="00691911" w:rsidP="00691911">
            <w:pPr>
              <w:jc w:val="right"/>
              <w:rPr>
                <w:rFonts w:ascii="Tahoma" w:hAnsi="Tahoma" w:cs="Tahoma"/>
                <w:color w:val="595959"/>
                <w:sz w:val="18"/>
                <w:szCs w:val="18"/>
              </w:rPr>
            </w:pPr>
            <w:r>
              <w:rPr>
                <w:rFonts w:ascii="Tahoma" w:hAnsi="Tahoma" w:cs="Tahoma"/>
                <w:color w:val="6D6E71"/>
                <w:sz w:val="20"/>
                <w:szCs w:val="20"/>
              </w:rPr>
              <w:t>101,587</w:t>
            </w:r>
          </w:p>
        </w:tc>
        <w:tc>
          <w:tcPr>
            <w:tcW w:w="1066" w:type="dxa"/>
            <w:tcBorders>
              <w:top w:val="nil"/>
              <w:left w:val="nil"/>
              <w:bottom w:val="nil"/>
              <w:right w:val="nil"/>
            </w:tcBorders>
            <w:shd w:val="clear" w:color="auto" w:fill="auto"/>
            <w:vAlign w:val="center"/>
          </w:tcPr>
          <w:p w14:paraId="746AB90B" w14:textId="1C169697" w:rsidR="00691911" w:rsidRPr="00022F96" w:rsidRDefault="00691911" w:rsidP="00691911">
            <w:pPr>
              <w:jc w:val="right"/>
              <w:rPr>
                <w:rFonts w:ascii="Tahoma" w:hAnsi="Tahoma" w:cs="Tahoma"/>
                <w:color w:val="595959"/>
                <w:sz w:val="18"/>
                <w:szCs w:val="18"/>
              </w:rPr>
            </w:pPr>
            <w:r>
              <w:rPr>
                <w:rFonts w:ascii="Tahoma" w:hAnsi="Tahoma" w:cs="Tahoma"/>
                <w:color w:val="6D6E71"/>
                <w:sz w:val="20"/>
                <w:szCs w:val="20"/>
              </w:rPr>
              <w:t>100,383</w:t>
            </w:r>
          </w:p>
        </w:tc>
      </w:tr>
      <w:tr w:rsidR="00691911" w:rsidRPr="00B2550C" w14:paraId="3A8640CC" w14:textId="77777777" w:rsidTr="00F7014D">
        <w:trPr>
          <w:trHeight w:val="81"/>
        </w:trPr>
        <w:tc>
          <w:tcPr>
            <w:tcW w:w="2700" w:type="dxa"/>
            <w:tcBorders>
              <w:bottom w:val="single" w:sz="4" w:space="0" w:color="D6A461" w:themeColor="text2"/>
            </w:tcBorders>
            <w:shd w:val="clear" w:color="auto" w:fill="D9D9D9"/>
            <w:noWrap/>
            <w:vAlign w:val="center"/>
            <w:hideMark/>
          </w:tcPr>
          <w:p w14:paraId="5473D065" w14:textId="77777777" w:rsidR="00691911" w:rsidRPr="00C65FF4" w:rsidRDefault="00691911" w:rsidP="00691911">
            <w:pPr>
              <w:spacing w:after="0" w:line="240" w:lineRule="auto"/>
              <w:rPr>
                <w:rFonts w:ascii="Arial" w:hAnsi="Arial"/>
                <w:b/>
                <w:bCs/>
                <w:color w:val="595959"/>
                <w:sz w:val="18"/>
                <w:szCs w:val="18"/>
              </w:rPr>
            </w:pPr>
            <w:r w:rsidRPr="00C65FF4">
              <w:rPr>
                <w:rFonts w:ascii="Arial" w:hAnsi="Arial"/>
                <w:b/>
                <w:bCs/>
                <w:color w:val="595959"/>
                <w:sz w:val="18"/>
                <w:szCs w:val="18"/>
              </w:rPr>
              <w:t xml:space="preserve">GDP at constant 2007 prices </w:t>
            </w:r>
          </w:p>
        </w:tc>
        <w:tc>
          <w:tcPr>
            <w:tcW w:w="1080" w:type="dxa"/>
            <w:tcBorders>
              <w:top w:val="nil"/>
              <w:left w:val="nil"/>
              <w:bottom w:val="single" w:sz="4" w:space="0" w:color="D6A461"/>
              <w:right w:val="nil"/>
            </w:tcBorders>
            <w:shd w:val="clear" w:color="000000" w:fill="D9D9D9"/>
            <w:vAlign w:val="center"/>
          </w:tcPr>
          <w:p w14:paraId="7A0E9C30" w14:textId="4A0C63B9"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195,177</w:t>
            </w:r>
          </w:p>
        </w:tc>
        <w:tc>
          <w:tcPr>
            <w:tcW w:w="1080" w:type="dxa"/>
            <w:tcBorders>
              <w:top w:val="nil"/>
              <w:left w:val="nil"/>
              <w:bottom w:val="single" w:sz="4" w:space="0" w:color="D6A461"/>
              <w:right w:val="nil"/>
            </w:tcBorders>
            <w:shd w:val="clear" w:color="000000" w:fill="D9D9D9"/>
            <w:vAlign w:val="center"/>
          </w:tcPr>
          <w:p w14:paraId="1D8AD40D" w14:textId="2388CA61"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195,233</w:t>
            </w:r>
          </w:p>
        </w:tc>
        <w:tc>
          <w:tcPr>
            <w:tcW w:w="1080" w:type="dxa"/>
            <w:tcBorders>
              <w:top w:val="nil"/>
              <w:left w:val="nil"/>
              <w:bottom w:val="single" w:sz="4" w:space="0" w:color="D6A461"/>
              <w:right w:val="nil"/>
            </w:tcBorders>
            <w:shd w:val="clear" w:color="000000" w:fill="D9D9D9"/>
            <w:vAlign w:val="center"/>
          </w:tcPr>
          <w:p w14:paraId="71F5BEE0" w14:textId="1BD63D9E"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195,939</w:t>
            </w:r>
          </w:p>
        </w:tc>
        <w:tc>
          <w:tcPr>
            <w:tcW w:w="1080" w:type="dxa"/>
            <w:tcBorders>
              <w:top w:val="nil"/>
              <w:left w:val="nil"/>
              <w:bottom w:val="single" w:sz="4" w:space="0" w:color="D6A461"/>
              <w:right w:val="nil"/>
            </w:tcBorders>
            <w:shd w:val="clear" w:color="000000" w:fill="D9D9D9"/>
            <w:vAlign w:val="center"/>
          </w:tcPr>
          <w:p w14:paraId="7BA89480" w14:textId="66C1A999"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195,991</w:t>
            </w:r>
          </w:p>
        </w:tc>
        <w:tc>
          <w:tcPr>
            <w:tcW w:w="1080" w:type="dxa"/>
            <w:tcBorders>
              <w:top w:val="nil"/>
              <w:left w:val="nil"/>
              <w:bottom w:val="single" w:sz="4" w:space="0" w:color="D6A461"/>
              <w:right w:val="nil"/>
            </w:tcBorders>
            <w:shd w:val="clear" w:color="000000" w:fill="D9D9D9"/>
            <w:vAlign w:val="center"/>
          </w:tcPr>
          <w:p w14:paraId="0D55FFE5" w14:textId="07112A8C"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199,342</w:t>
            </w:r>
          </w:p>
        </w:tc>
        <w:tc>
          <w:tcPr>
            <w:tcW w:w="1080" w:type="dxa"/>
            <w:tcBorders>
              <w:top w:val="nil"/>
              <w:left w:val="nil"/>
              <w:bottom w:val="single" w:sz="4" w:space="0" w:color="D6A461"/>
              <w:right w:val="nil"/>
            </w:tcBorders>
            <w:shd w:val="clear" w:color="000000" w:fill="D9D9D9"/>
            <w:vAlign w:val="center"/>
          </w:tcPr>
          <w:p w14:paraId="37469E60" w14:textId="031EF682"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198,759</w:t>
            </w:r>
          </w:p>
        </w:tc>
        <w:tc>
          <w:tcPr>
            <w:tcW w:w="1184" w:type="dxa"/>
            <w:tcBorders>
              <w:top w:val="nil"/>
              <w:left w:val="nil"/>
              <w:bottom w:val="single" w:sz="4" w:space="0" w:color="D6A461"/>
              <w:right w:val="nil"/>
            </w:tcBorders>
            <w:shd w:val="clear" w:color="000000" w:fill="D9D9D9"/>
            <w:vAlign w:val="center"/>
          </w:tcPr>
          <w:p w14:paraId="2B36ACD5" w14:textId="134981B6" w:rsidR="00691911" w:rsidRPr="00B45201" w:rsidRDefault="00691911" w:rsidP="00691911">
            <w:pPr>
              <w:bidi/>
              <w:rPr>
                <w:rFonts w:asciiTheme="majorHAnsi" w:hAnsiTheme="majorHAnsi" w:cstheme="majorHAnsi"/>
                <w:b/>
                <w:bCs/>
                <w:color w:val="595959"/>
                <w:sz w:val="20"/>
                <w:szCs w:val="20"/>
                <w:rtl/>
              </w:rPr>
            </w:pPr>
            <w:r>
              <w:rPr>
                <w:rFonts w:ascii="Tahoma" w:hAnsi="Tahoma" w:cs="Tahoma"/>
                <w:b/>
                <w:bCs/>
                <w:color w:val="6D6E71"/>
                <w:sz w:val="20"/>
                <w:szCs w:val="20"/>
                <w:rtl/>
              </w:rPr>
              <w:t>203,186</w:t>
            </w:r>
          </w:p>
        </w:tc>
        <w:tc>
          <w:tcPr>
            <w:tcW w:w="1066" w:type="dxa"/>
            <w:tcBorders>
              <w:top w:val="nil"/>
              <w:left w:val="nil"/>
              <w:bottom w:val="single" w:sz="4" w:space="0" w:color="D6A461"/>
              <w:right w:val="nil"/>
            </w:tcBorders>
            <w:shd w:val="clear" w:color="000000" w:fill="D9D9D9"/>
            <w:vAlign w:val="center"/>
          </w:tcPr>
          <w:p w14:paraId="6B9126B1" w14:textId="5EC6202A" w:rsidR="00691911" w:rsidRPr="002F27C2" w:rsidRDefault="00691911" w:rsidP="00691911">
            <w:pPr>
              <w:jc w:val="right"/>
              <w:rPr>
                <w:rFonts w:asciiTheme="majorHAnsi" w:hAnsiTheme="majorHAnsi" w:cstheme="majorHAnsi"/>
                <w:b/>
                <w:bCs/>
                <w:color w:val="595959"/>
                <w:sz w:val="20"/>
                <w:szCs w:val="20"/>
              </w:rPr>
            </w:pPr>
            <w:r>
              <w:rPr>
                <w:rFonts w:ascii="Tahoma" w:hAnsi="Tahoma" w:cs="Tahoma"/>
                <w:b/>
                <w:bCs/>
                <w:color w:val="6D6E71"/>
                <w:sz w:val="20"/>
                <w:szCs w:val="20"/>
                <w:rtl/>
              </w:rPr>
              <w:t>207,192</w:t>
            </w:r>
          </w:p>
        </w:tc>
      </w:tr>
    </w:tbl>
    <w:p w14:paraId="4B70AC8C" w14:textId="77777777" w:rsidR="00F13B1C" w:rsidRDefault="00F13B1C" w:rsidP="00917809">
      <w:pPr>
        <w:pStyle w:val="EcoSourceNote"/>
      </w:pPr>
    </w:p>
    <w:p w14:paraId="3C9859EA" w14:textId="77777777" w:rsidR="00117AE3" w:rsidRPr="00263BBB" w:rsidRDefault="00117AE3" w:rsidP="00917809">
      <w:pPr>
        <w:pStyle w:val="EcoSourceNote"/>
      </w:pPr>
      <w:r w:rsidRPr="00263BBB">
        <w:t>Source: Statistics Centre - Abu Dhabi</w:t>
      </w:r>
    </w:p>
    <w:p w14:paraId="3BBE44CB" w14:textId="77777777" w:rsidR="00117AE3" w:rsidRDefault="00117AE3" w:rsidP="00917809">
      <w:pPr>
        <w:pStyle w:val="EcoTableChartNotes"/>
      </w:pPr>
      <w:r w:rsidRPr="00757155">
        <w:t>*Preliminary estimates</w:t>
      </w:r>
    </w:p>
    <w:p w14:paraId="0166300A" w14:textId="77777777" w:rsidR="00117AE3" w:rsidRPr="00B2550C" w:rsidRDefault="00117AE3" w:rsidP="00F13B1C">
      <w:pPr>
        <w:autoSpaceDE w:val="0"/>
        <w:autoSpaceDN w:val="0"/>
        <w:adjustRightInd w:val="0"/>
        <w:spacing w:after="0"/>
        <w:ind w:hanging="720"/>
        <w:rPr>
          <w:rFonts w:ascii="Arial" w:eastAsia="Calibri" w:hAnsi="Arial"/>
          <w:b/>
          <w:color w:val="595959"/>
        </w:rPr>
      </w:pPr>
      <w:r w:rsidRPr="00263BBB">
        <w:rPr>
          <w:rFonts w:ascii="Arial" w:eastAsia="Calibri" w:hAnsi="Arial"/>
          <w:b/>
          <w:color w:val="D6A461" w:themeColor="text2"/>
        </w:rPr>
        <w:lastRenderedPageBreak/>
        <w:t xml:space="preserve">Table 3: </w:t>
      </w:r>
      <w:r w:rsidRPr="00B2550C">
        <w:rPr>
          <w:rFonts w:ascii="Arial" w:eastAsia="Calibri" w:hAnsi="Arial"/>
          <w:b/>
          <w:color w:val="595959"/>
        </w:rPr>
        <w:t>Percentage change in Oil and Non-oil Gross Domestic Product at current and constant prices</w:t>
      </w:r>
      <w:r w:rsidRPr="00263BBB">
        <w:rPr>
          <w:rFonts w:ascii="Arial" w:eastAsia="Calibri" w:hAnsi="Arial"/>
          <w:b/>
          <w:color w:val="C00000"/>
        </w:rPr>
        <w:t>*</w:t>
      </w:r>
    </w:p>
    <w:p w14:paraId="484DB039" w14:textId="77777777" w:rsidR="00117AE3" w:rsidRPr="00B2550C" w:rsidRDefault="00117AE3" w:rsidP="00F13B1C">
      <w:pPr>
        <w:spacing w:after="0" w:line="240" w:lineRule="auto"/>
        <w:ind w:hanging="720"/>
        <w:rPr>
          <w:rFonts w:ascii="Arial" w:hAnsi="Arial"/>
          <w:color w:val="595959"/>
          <w:sz w:val="20"/>
          <w:szCs w:val="20"/>
        </w:rPr>
      </w:pPr>
      <w:r w:rsidRPr="00B2550C">
        <w:rPr>
          <w:rFonts w:ascii="Arial" w:hAnsi="Arial"/>
          <w:color w:val="595959"/>
          <w:sz w:val="20"/>
          <w:szCs w:val="20"/>
        </w:rPr>
        <w:t>Percentage change from the same quarter of the previous year</w:t>
      </w:r>
    </w:p>
    <w:tbl>
      <w:tblPr>
        <w:tblW w:w="10305" w:type="dxa"/>
        <w:tblInd w:w="-765" w:type="dxa"/>
        <w:tblLook w:val="04A0" w:firstRow="1" w:lastRow="0" w:firstColumn="1" w:lastColumn="0" w:noHBand="0" w:noVBand="1"/>
      </w:tblPr>
      <w:tblGrid>
        <w:gridCol w:w="4005"/>
        <w:gridCol w:w="1260"/>
        <w:gridCol w:w="1260"/>
        <w:gridCol w:w="1260"/>
        <w:gridCol w:w="1260"/>
        <w:gridCol w:w="1260"/>
      </w:tblGrid>
      <w:tr w:rsidR="00691911" w:rsidRPr="00B2550C" w14:paraId="5C7964EE" w14:textId="77777777" w:rsidTr="007B341D">
        <w:trPr>
          <w:trHeight w:val="329"/>
        </w:trPr>
        <w:tc>
          <w:tcPr>
            <w:tcW w:w="4005" w:type="dxa"/>
            <w:shd w:val="clear" w:color="auto" w:fill="D6A461" w:themeFill="text2"/>
            <w:noWrap/>
            <w:vAlign w:val="center"/>
            <w:hideMark/>
          </w:tcPr>
          <w:p w14:paraId="676E4436" w14:textId="32875867"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Production measure</w:t>
            </w:r>
            <w:r>
              <w:rPr>
                <w:rFonts w:ascii="Tahoma" w:hAnsi="Tahoma" w:cs="Tahoma"/>
                <w:b/>
                <w:bCs/>
                <w:color w:val="FFFFFF"/>
                <w:sz w:val="20"/>
                <w:szCs w:val="20"/>
              </w:rPr>
              <w:br/>
              <w:t>Seasonally adjusted</w:t>
            </w:r>
          </w:p>
        </w:tc>
        <w:tc>
          <w:tcPr>
            <w:tcW w:w="1260" w:type="dxa"/>
            <w:shd w:val="clear" w:color="auto" w:fill="D6A461" w:themeFill="text2"/>
            <w:vAlign w:val="center"/>
          </w:tcPr>
          <w:p w14:paraId="08C516AE" w14:textId="04B45CF8" w:rsidR="00691911" w:rsidRDefault="00691911" w:rsidP="00691911">
            <w:pPr>
              <w:spacing w:after="0" w:line="240" w:lineRule="auto"/>
              <w:jc w:val="right"/>
              <w:rPr>
                <w:rFonts w:ascii="Tahoma" w:hAnsi="Tahoma" w:cs="Tahoma"/>
                <w:b/>
                <w:bCs/>
                <w:color w:val="FFFFFF"/>
                <w:sz w:val="20"/>
                <w:szCs w:val="20"/>
              </w:rPr>
            </w:pPr>
            <w:r>
              <w:rPr>
                <w:rFonts w:ascii="Tahoma" w:hAnsi="Tahoma" w:cs="Tahoma"/>
                <w:b/>
                <w:bCs/>
                <w:color w:val="FFFFFF"/>
                <w:sz w:val="20"/>
                <w:szCs w:val="20"/>
              </w:rPr>
              <w:t>Q1 2018</w:t>
            </w:r>
          </w:p>
        </w:tc>
        <w:tc>
          <w:tcPr>
            <w:tcW w:w="1260" w:type="dxa"/>
            <w:shd w:val="clear" w:color="auto" w:fill="D6A461" w:themeFill="text2"/>
            <w:vAlign w:val="center"/>
          </w:tcPr>
          <w:p w14:paraId="0C03C98F" w14:textId="63003BE7" w:rsidR="00691911" w:rsidRDefault="00691911" w:rsidP="00691911">
            <w:pPr>
              <w:spacing w:after="0" w:line="240" w:lineRule="auto"/>
              <w:jc w:val="right"/>
              <w:rPr>
                <w:rFonts w:ascii="Tahoma" w:hAnsi="Tahoma" w:cs="Tahoma"/>
                <w:b/>
                <w:bCs/>
                <w:color w:val="FFFFFF"/>
                <w:sz w:val="20"/>
                <w:szCs w:val="20"/>
              </w:rPr>
            </w:pPr>
            <w:r>
              <w:rPr>
                <w:rFonts w:ascii="Tahoma" w:hAnsi="Tahoma" w:cs="Tahoma"/>
                <w:b/>
                <w:bCs/>
                <w:color w:val="FFFFFF"/>
                <w:sz w:val="20"/>
                <w:szCs w:val="20"/>
              </w:rPr>
              <w:t>Q2 2018</w:t>
            </w:r>
          </w:p>
        </w:tc>
        <w:tc>
          <w:tcPr>
            <w:tcW w:w="1260" w:type="dxa"/>
            <w:shd w:val="clear" w:color="auto" w:fill="D6A461" w:themeFill="text2"/>
            <w:vAlign w:val="center"/>
          </w:tcPr>
          <w:p w14:paraId="08583D35" w14:textId="77F1170B" w:rsidR="00691911" w:rsidRDefault="00691911" w:rsidP="00691911">
            <w:pPr>
              <w:spacing w:after="0" w:line="240" w:lineRule="auto"/>
              <w:jc w:val="right"/>
              <w:rPr>
                <w:rFonts w:ascii="Tahoma" w:hAnsi="Tahoma" w:cs="Tahoma"/>
                <w:b/>
                <w:bCs/>
                <w:color w:val="FFFFFF"/>
                <w:sz w:val="20"/>
                <w:szCs w:val="20"/>
              </w:rPr>
            </w:pPr>
            <w:r>
              <w:rPr>
                <w:rFonts w:ascii="Tahoma" w:hAnsi="Tahoma" w:cs="Tahoma"/>
                <w:b/>
                <w:bCs/>
                <w:color w:val="FFFFFF"/>
                <w:sz w:val="20"/>
                <w:szCs w:val="20"/>
              </w:rPr>
              <w:t>Q</w:t>
            </w:r>
            <w:r>
              <w:rPr>
                <w:rFonts w:ascii="Tahoma" w:hAnsi="Tahoma" w:cs="Tahoma" w:hint="cs"/>
                <w:b/>
                <w:bCs/>
                <w:color w:val="FFFFFF"/>
                <w:sz w:val="20"/>
                <w:szCs w:val="20"/>
                <w:rtl/>
              </w:rPr>
              <w:t>3</w:t>
            </w:r>
            <w:r>
              <w:rPr>
                <w:rFonts w:ascii="Tahoma" w:hAnsi="Tahoma" w:cs="Tahoma"/>
                <w:b/>
                <w:bCs/>
                <w:color w:val="FFFFFF"/>
                <w:sz w:val="20"/>
                <w:szCs w:val="20"/>
              </w:rPr>
              <w:t xml:space="preserve"> 2018</w:t>
            </w:r>
          </w:p>
        </w:tc>
        <w:tc>
          <w:tcPr>
            <w:tcW w:w="1260" w:type="dxa"/>
            <w:shd w:val="clear" w:color="auto" w:fill="D6A461" w:themeFill="text2"/>
            <w:vAlign w:val="center"/>
          </w:tcPr>
          <w:p w14:paraId="3C30CDF4" w14:textId="6EB87A33" w:rsidR="00691911" w:rsidRDefault="00691911" w:rsidP="00691911">
            <w:pPr>
              <w:spacing w:after="0" w:line="240" w:lineRule="auto"/>
              <w:jc w:val="right"/>
              <w:rPr>
                <w:rFonts w:ascii="Tahoma" w:hAnsi="Tahoma" w:cs="Tahoma"/>
                <w:b/>
                <w:bCs/>
                <w:color w:val="FFFFFF"/>
                <w:sz w:val="20"/>
                <w:szCs w:val="20"/>
              </w:rPr>
            </w:pPr>
            <w:r>
              <w:rPr>
                <w:rFonts w:ascii="Tahoma" w:hAnsi="Tahoma" w:cs="Tahoma"/>
                <w:b/>
                <w:bCs/>
                <w:color w:val="FFFFFF"/>
                <w:sz w:val="20"/>
                <w:szCs w:val="20"/>
              </w:rPr>
              <w:t>Q</w:t>
            </w:r>
            <w:r>
              <w:rPr>
                <w:rFonts w:ascii="Tahoma" w:hAnsi="Tahoma" w:cs="Tahoma" w:hint="cs"/>
                <w:b/>
                <w:bCs/>
                <w:color w:val="FFFFFF"/>
                <w:sz w:val="20"/>
                <w:szCs w:val="20"/>
                <w:rtl/>
              </w:rPr>
              <w:t>4</w:t>
            </w:r>
            <w:r>
              <w:rPr>
                <w:rFonts w:ascii="Tahoma" w:hAnsi="Tahoma" w:cs="Tahoma"/>
                <w:b/>
                <w:bCs/>
                <w:color w:val="FFFFFF"/>
                <w:sz w:val="20"/>
                <w:szCs w:val="20"/>
              </w:rPr>
              <w:t xml:space="preserve"> 2018</w:t>
            </w:r>
          </w:p>
        </w:tc>
        <w:tc>
          <w:tcPr>
            <w:tcW w:w="1260" w:type="dxa"/>
            <w:shd w:val="clear" w:color="auto" w:fill="D6A461" w:themeFill="text2"/>
            <w:vAlign w:val="center"/>
            <w:hideMark/>
          </w:tcPr>
          <w:p w14:paraId="0C3BB831" w14:textId="5D50F1F5" w:rsidR="00691911" w:rsidRPr="008215A6"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Q1 2019</w:t>
            </w:r>
          </w:p>
        </w:tc>
      </w:tr>
      <w:tr w:rsidR="00691911" w:rsidRPr="00B2550C" w14:paraId="0B16D6A9" w14:textId="77777777" w:rsidTr="00A01BFE">
        <w:trPr>
          <w:trHeight w:hRule="exact" w:val="336"/>
        </w:trPr>
        <w:tc>
          <w:tcPr>
            <w:tcW w:w="4005" w:type="dxa"/>
            <w:shd w:val="clear" w:color="auto" w:fill="auto"/>
            <w:noWrap/>
            <w:vAlign w:val="center"/>
            <w:hideMark/>
          </w:tcPr>
          <w:p w14:paraId="3821E749" w14:textId="77777777" w:rsidR="00691911" w:rsidRPr="00B45201" w:rsidRDefault="00691911" w:rsidP="00691911">
            <w:pPr>
              <w:spacing w:after="0" w:line="240" w:lineRule="auto"/>
              <w:rPr>
                <w:rFonts w:asciiTheme="majorHAnsi" w:hAnsiTheme="majorHAnsi" w:cstheme="majorHAnsi"/>
                <w:color w:val="595959"/>
                <w:sz w:val="18"/>
                <w:szCs w:val="18"/>
              </w:rPr>
            </w:pPr>
            <w:r w:rsidRPr="00B45201">
              <w:rPr>
                <w:rFonts w:asciiTheme="majorHAnsi" w:hAnsiTheme="majorHAnsi" w:cstheme="majorHAnsi"/>
                <w:color w:val="595959"/>
                <w:sz w:val="18"/>
                <w:szCs w:val="18"/>
              </w:rPr>
              <w:t xml:space="preserve">Oil value added at current prices </w:t>
            </w:r>
          </w:p>
        </w:tc>
        <w:tc>
          <w:tcPr>
            <w:tcW w:w="1260" w:type="dxa"/>
            <w:tcBorders>
              <w:top w:val="nil"/>
              <w:left w:val="nil"/>
              <w:bottom w:val="nil"/>
              <w:right w:val="nil"/>
            </w:tcBorders>
            <w:shd w:val="clear" w:color="auto" w:fill="auto"/>
            <w:vAlign w:val="center"/>
          </w:tcPr>
          <w:p w14:paraId="10616160" w14:textId="292F3294" w:rsidR="00691911" w:rsidRPr="004B5861" w:rsidRDefault="00691911" w:rsidP="00691911">
            <w:pPr>
              <w:ind w:right="72"/>
              <w:jc w:val="right"/>
              <w:rPr>
                <w:rFonts w:ascii="Tahoma" w:hAnsi="Tahoma" w:cs="Tahoma"/>
                <w:color w:val="595959"/>
                <w:sz w:val="18"/>
                <w:szCs w:val="18"/>
              </w:rPr>
            </w:pPr>
            <w:r>
              <w:rPr>
                <w:rFonts w:ascii="Tahoma" w:hAnsi="Tahoma" w:cs="Tahoma"/>
                <w:color w:val="6D6E71"/>
                <w:sz w:val="20"/>
                <w:szCs w:val="20"/>
                <w:rtl/>
              </w:rPr>
              <w:t>18.4</w:t>
            </w:r>
          </w:p>
        </w:tc>
        <w:tc>
          <w:tcPr>
            <w:tcW w:w="1260" w:type="dxa"/>
            <w:tcBorders>
              <w:top w:val="nil"/>
              <w:left w:val="nil"/>
              <w:bottom w:val="nil"/>
              <w:right w:val="nil"/>
            </w:tcBorders>
            <w:shd w:val="clear" w:color="auto" w:fill="auto"/>
            <w:vAlign w:val="center"/>
          </w:tcPr>
          <w:p w14:paraId="02E148DD" w14:textId="23871403"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42.9</w:t>
            </w:r>
          </w:p>
        </w:tc>
        <w:tc>
          <w:tcPr>
            <w:tcW w:w="1260" w:type="dxa"/>
            <w:tcBorders>
              <w:top w:val="nil"/>
              <w:left w:val="nil"/>
              <w:bottom w:val="nil"/>
              <w:right w:val="nil"/>
            </w:tcBorders>
            <w:shd w:val="clear" w:color="auto" w:fill="auto"/>
            <w:vAlign w:val="center"/>
          </w:tcPr>
          <w:p w14:paraId="17B5077A" w14:textId="6FE6D13F"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49.4</w:t>
            </w:r>
          </w:p>
        </w:tc>
        <w:tc>
          <w:tcPr>
            <w:tcW w:w="1260" w:type="dxa"/>
            <w:tcBorders>
              <w:top w:val="nil"/>
              <w:left w:val="nil"/>
              <w:bottom w:val="nil"/>
              <w:right w:val="nil"/>
            </w:tcBorders>
            <w:shd w:val="clear" w:color="auto" w:fill="auto"/>
            <w:vAlign w:val="center"/>
          </w:tcPr>
          <w:p w14:paraId="16EC87DA" w14:textId="79791634"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33.0</w:t>
            </w:r>
          </w:p>
        </w:tc>
        <w:tc>
          <w:tcPr>
            <w:tcW w:w="1260" w:type="dxa"/>
            <w:tcBorders>
              <w:top w:val="nil"/>
              <w:left w:val="nil"/>
              <w:bottom w:val="nil"/>
              <w:right w:val="nil"/>
            </w:tcBorders>
            <w:shd w:val="clear" w:color="auto" w:fill="auto"/>
            <w:vAlign w:val="center"/>
          </w:tcPr>
          <w:p w14:paraId="07B2B9C8" w14:textId="6B17A3CF"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11.6</w:t>
            </w:r>
          </w:p>
        </w:tc>
      </w:tr>
      <w:tr w:rsidR="00691911" w:rsidRPr="00B2550C" w14:paraId="5090371F" w14:textId="77777777" w:rsidTr="00A01BFE">
        <w:trPr>
          <w:trHeight w:hRule="exact" w:val="336"/>
        </w:trPr>
        <w:tc>
          <w:tcPr>
            <w:tcW w:w="4005" w:type="dxa"/>
            <w:shd w:val="clear" w:color="auto" w:fill="auto"/>
            <w:noWrap/>
            <w:vAlign w:val="center"/>
            <w:hideMark/>
          </w:tcPr>
          <w:p w14:paraId="0635C759" w14:textId="77777777" w:rsidR="00691911" w:rsidRPr="00B45201" w:rsidRDefault="00691911" w:rsidP="00691911">
            <w:pPr>
              <w:spacing w:after="0" w:line="240" w:lineRule="auto"/>
              <w:rPr>
                <w:rFonts w:asciiTheme="majorHAnsi" w:hAnsiTheme="majorHAnsi" w:cstheme="majorHAnsi"/>
                <w:color w:val="595959"/>
                <w:sz w:val="18"/>
                <w:szCs w:val="18"/>
              </w:rPr>
            </w:pPr>
            <w:r w:rsidRPr="00B45201">
              <w:rPr>
                <w:rFonts w:asciiTheme="majorHAnsi" w:hAnsiTheme="majorHAnsi" w:cstheme="majorHAnsi"/>
                <w:color w:val="595959"/>
                <w:sz w:val="18"/>
                <w:szCs w:val="18"/>
              </w:rPr>
              <w:t xml:space="preserve">Non-oil value added at current prices </w:t>
            </w:r>
          </w:p>
        </w:tc>
        <w:tc>
          <w:tcPr>
            <w:tcW w:w="1260" w:type="dxa"/>
            <w:tcBorders>
              <w:top w:val="nil"/>
              <w:left w:val="nil"/>
              <w:bottom w:val="nil"/>
              <w:right w:val="nil"/>
            </w:tcBorders>
            <w:shd w:val="clear" w:color="auto" w:fill="auto"/>
            <w:vAlign w:val="center"/>
          </w:tcPr>
          <w:p w14:paraId="0E8F41D1" w14:textId="3347BB20"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4.8</w:t>
            </w:r>
          </w:p>
        </w:tc>
        <w:tc>
          <w:tcPr>
            <w:tcW w:w="1260" w:type="dxa"/>
            <w:tcBorders>
              <w:top w:val="nil"/>
              <w:left w:val="nil"/>
              <w:bottom w:val="nil"/>
              <w:right w:val="nil"/>
            </w:tcBorders>
            <w:shd w:val="clear" w:color="auto" w:fill="auto"/>
            <w:vAlign w:val="center"/>
          </w:tcPr>
          <w:p w14:paraId="28DC9CDC" w14:textId="49D42885"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5.4</w:t>
            </w:r>
          </w:p>
        </w:tc>
        <w:tc>
          <w:tcPr>
            <w:tcW w:w="1260" w:type="dxa"/>
            <w:tcBorders>
              <w:top w:val="nil"/>
              <w:left w:val="nil"/>
              <w:bottom w:val="nil"/>
              <w:right w:val="nil"/>
            </w:tcBorders>
            <w:shd w:val="clear" w:color="auto" w:fill="auto"/>
            <w:vAlign w:val="center"/>
          </w:tcPr>
          <w:p w14:paraId="327A64A9" w14:textId="42685B7E"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2.1</w:t>
            </w:r>
          </w:p>
        </w:tc>
        <w:tc>
          <w:tcPr>
            <w:tcW w:w="1260" w:type="dxa"/>
            <w:tcBorders>
              <w:top w:val="nil"/>
              <w:left w:val="nil"/>
              <w:bottom w:val="nil"/>
              <w:right w:val="nil"/>
            </w:tcBorders>
            <w:shd w:val="clear" w:color="auto" w:fill="auto"/>
            <w:vAlign w:val="center"/>
          </w:tcPr>
          <w:p w14:paraId="1C747ED7" w14:textId="3D91D178"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1.6</w:t>
            </w:r>
          </w:p>
        </w:tc>
        <w:tc>
          <w:tcPr>
            <w:tcW w:w="1260" w:type="dxa"/>
            <w:tcBorders>
              <w:top w:val="nil"/>
              <w:left w:val="nil"/>
              <w:bottom w:val="nil"/>
              <w:right w:val="nil"/>
            </w:tcBorders>
            <w:shd w:val="clear" w:color="auto" w:fill="auto"/>
            <w:vAlign w:val="center"/>
          </w:tcPr>
          <w:p w14:paraId="582D4C6A" w14:textId="4312BB7B" w:rsidR="00691911" w:rsidRPr="004B5861" w:rsidRDefault="00575397" w:rsidP="00691911">
            <w:pPr>
              <w:jc w:val="right"/>
              <w:rPr>
                <w:rFonts w:ascii="Tahoma" w:hAnsi="Tahoma" w:cs="Tahoma"/>
                <w:color w:val="595959"/>
                <w:sz w:val="18"/>
                <w:szCs w:val="18"/>
              </w:rPr>
            </w:pPr>
            <w:r>
              <w:rPr>
                <w:rFonts w:ascii="Tahoma" w:hAnsi="Tahoma" w:cs="Tahoma"/>
                <w:color w:val="6D6E71"/>
                <w:sz w:val="20"/>
                <w:szCs w:val="20"/>
              </w:rPr>
              <w:t>-</w:t>
            </w:r>
            <w:r w:rsidR="00691911">
              <w:rPr>
                <w:rFonts w:ascii="Tahoma" w:hAnsi="Tahoma" w:cs="Tahoma"/>
                <w:color w:val="6D6E71"/>
                <w:sz w:val="20"/>
                <w:szCs w:val="20"/>
                <w:rtl/>
              </w:rPr>
              <w:t>1.6</w:t>
            </w:r>
          </w:p>
        </w:tc>
      </w:tr>
      <w:tr w:rsidR="00691911" w:rsidRPr="00B2550C" w14:paraId="33477E3C" w14:textId="77777777" w:rsidTr="00A01BFE">
        <w:trPr>
          <w:trHeight w:hRule="exact" w:val="336"/>
        </w:trPr>
        <w:tc>
          <w:tcPr>
            <w:tcW w:w="4005" w:type="dxa"/>
            <w:tcBorders>
              <w:bottom w:val="single" w:sz="4" w:space="0" w:color="D6A461" w:themeColor="text2"/>
            </w:tcBorders>
            <w:shd w:val="clear" w:color="auto" w:fill="D9D9D9"/>
            <w:noWrap/>
            <w:vAlign w:val="center"/>
            <w:hideMark/>
          </w:tcPr>
          <w:p w14:paraId="479F6F29"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 xml:space="preserve">GDP at current prices </w:t>
            </w:r>
          </w:p>
        </w:tc>
        <w:tc>
          <w:tcPr>
            <w:tcW w:w="1260" w:type="dxa"/>
            <w:tcBorders>
              <w:top w:val="nil"/>
              <w:left w:val="nil"/>
              <w:bottom w:val="single" w:sz="4" w:space="0" w:color="D6A461"/>
              <w:right w:val="nil"/>
            </w:tcBorders>
            <w:shd w:val="clear" w:color="000000" w:fill="D9D9D9"/>
            <w:vAlign w:val="center"/>
          </w:tcPr>
          <w:p w14:paraId="7FAE147A" w14:textId="761DB4FA" w:rsidR="00691911" w:rsidRDefault="00691911" w:rsidP="00691911">
            <w:pPr>
              <w:bidi/>
              <w:rPr>
                <w:rFonts w:ascii="Tahoma" w:hAnsi="Tahoma" w:cs="Tahoma"/>
                <w:b/>
                <w:bCs/>
                <w:color w:val="595959"/>
                <w:sz w:val="20"/>
                <w:szCs w:val="20"/>
              </w:rPr>
            </w:pPr>
            <w:r>
              <w:rPr>
                <w:rFonts w:ascii="Tahoma" w:hAnsi="Tahoma" w:cs="Tahoma"/>
                <w:b/>
                <w:bCs/>
                <w:color w:val="6D6E71"/>
                <w:sz w:val="20"/>
                <w:szCs w:val="20"/>
                <w:rtl/>
              </w:rPr>
              <w:t>9.4</w:t>
            </w:r>
          </w:p>
        </w:tc>
        <w:tc>
          <w:tcPr>
            <w:tcW w:w="1260" w:type="dxa"/>
            <w:tcBorders>
              <w:top w:val="nil"/>
              <w:left w:val="nil"/>
              <w:bottom w:val="single" w:sz="4" w:space="0" w:color="D6A461"/>
              <w:right w:val="nil"/>
            </w:tcBorders>
            <w:shd w:val="clear" w:color="000000" w:fill="D9D9D9"/>
            <w:vAlign w:val="center"/>
          </w:tcPr>
          <w:p w14:paraId="54549B48" w14:textId="700CD4E4" w:rsidR="00691911" w:rsidRDefault="00691911" w:rsidP="00691911">
            <w:pPr>
              <w:bidi/>
              <w:rPr>
                <w:rFonts w:ascii="Tahoma" w:hAnsi="Tahoma" w:cs="Tahoma"/>
                <w:b/>
                <w:bCs/>
                <w:color w:val="595959"/>
                <w:sz w:val="20"/>
                <w:szCs w:val="20"/>
              </w:rPr>
            </w:pPr>
            <w:r>
              <w:rPr>
                <w:rFonts w:ascii="Tahoma" w:hAnsi="Tahoma" w:cs="Tahoma"/>
                <w:b/>
                <w:bCs/>
                <w:color w:val="6D6E71"/>
                <w:sz w:val="20"/>
                <w:szCs w:val="20"/>
                <w:rtl/>
              </w:rPr>
              <w:t>17.7</w:t>
            </w:r>
          </w:p>
        </w:tc>
        <w:tc>
          <w:tcPr>
            <w:tcW w:w="1260" w:type="dxa"/>
            <w:tcBorders>
              <w:top w:val="nil"/>
              <w:left w:val="nil"/>
              <w:bottom w:val="single" w:sz="4" w:space="0" w:color="D6A461"/>
              <w:right w:val="nil"/>
            </w:tcBorders>
            <w:shd w:val="clear" w:color="000000" w:fill="D9D9D9"/>
            <w:vAlign w:val="center"/>
          </w:tcPr>
          <w:p w14:paraId="4CD608E0" w14:textId="18DBA6A8" w:rsidR="00691911" w:rsidRDefault="00691911" w:rsidP="00691911">
            <w:pPr>
              <w:bidi/>
              <w:rPr>
                <w:rFonts w:ascii="Tahoma" w:hAnsi="Tahoma" w:cs="Tahoma"/>
                <w:b/>
                <w:bCs/>
                <w:color w:val="595959"/>
                <w:sz w:val="20"/>
                <w:szCs w:val="20"/>
              </w:rPr>
            </w:pPr>
            <w:r>
              <w:rPr>
                <w:rFonts w:ascii="Tahoma" w:hAnsi="Tahoma" w:cs="Tahoma"/>
                <w:b/>
                <w:bCs/>
                <w:color w:val="6D6E71"/>
                <w:sz w:val="20"/>
                <w:szCs w:val="20"/>
                <w:rtl/>
              </w:rPr>
              <w:t>17.9</w:t>
            </w:r>
          </w:p>
        </w:tc>
        <w:tc>
          <w:tcPr>
            <w:tcW w:w="1260" w:type="dxa"/>
            <w:tcBorders>
              <w:top w:val="nil"/>
              <w:left w:val="nil"/>
              <w:bottom w:val="single" w:sz="4" w:space="0" w:color="D6A461"/>
              <w:right w:val="nil"/>
            </w:tcBorders>
            <w:shd w:val="clear" w:color="000000" w:fill="D9D9D9"/>
            <w:vAlign w:val="center"/>
          </w:tcPr>
          <w:p w14:paraId="4A1F4C8C" w14:textId="22C67921" w:rsidR="00691911" w:rsidRDefault="00691911" w:rsidP="00691911">
            <w:pPr>
              <w:bidi/>
              <w:rPr>
                <w:rFonts w:ascii="Tahoma" w:hAnsi="Tahoma" w:cs="Tahoma"/>
                <w:b/>
                <w:bCs/>
                <w:color w:val="595959"/>
                <w:sz w:val="20"/>
                <w:szCs w:val="20"/>
              </w:rPr>
            </w:pPr>
            <w:r>
              <w:rPr>
                <w:rFonts w:ascii="Tahoma" w:hAnsi="Tahoma" w:cs="Tahoma"/>
                <w:b/>
                <w:bCs/>
                <w:color w:val="6D6E71"/>
                <w:sz w:val="20"/>
                <w:szCs w:val="20"/>
                <w:rtl/>
              </w:rPr>
              <w:t>12.9</w:t>
            </w:r>
          </w:p>
        </w:tc>
        <w:tc>
          <w:tcPr>
            <w:tcW w:w="1260" w:type="dxa"/>
            <w:tcBorders>
              <w:top w:val="nil"/>
              <w:left w:val="nil"/>
              <w:bottom w:val="single" w:sz="4" w:space="0" w:color="D6A461"/>
              <w:right w:val="nil"/>
            </w:tcBorders>
            <w:shd w:val="clear" w:color="000000" w:fill="D9D9D9"/>
            <w:vAlign w:val="center"/>
          </w:tcPr>
          <w:p w14:paraId="4A785C00" w14:textId="31C7858F" w:rsidR="00691911" w:rsidRPr="0089209C" w:rsidRDefault="00691911" w:rsidP="00691911">
            <w:pPr>
              <w:bidi/>
              <w:rPr>
                <w:rFonts w:ascii="Tahoma" w:hAnsi="Tahoma" w:cs="Tahoma"/>
                <w:b/>
                <w:bCs/>
                <w:color w:val="595959"/>
                <w:sz w:val="20"/>
                <w:szCs w:val="20"/>
              </w:rPr>
            </w:pPr>
            <w:r>
              <w:rPr>
                <w:rFonts w:ascii="Tahoma" w:hAnsi="Tahoma" w:cs="Tahoma"/>
                <w:b/>
                <w:bCs/>
                <w:color w:val="6D6E71"/>
                <w:sz w:val="20"/>
                <w:szCs w:val="20"/>
                <w:rtl/>
              </w:rPr>
              <w:t>3.3</w:t>
            </w:r>
          </w:p>
        </w:tc>
      </w:tr>
      <w:tr w:rsidR="00691911" w:rsidRPr="00B2550C" w14:paraId="020ADF57" w14:textId="77777777" w:rsidTr="00A01BFE">
        <w:trPr>
          <w:trHeight w:hRule="exact" w:val="336"/>
        </w:trPr>
        <w:tc>
          <w:tcPr>
            <w:tcW w:w="4005" w:type="dxa"/>
            <w:tcBorders>
              <w:top w:val="single" w:sz="4" w:space="0" w:color="D6A461" w:themeColor="text2"/>
            </w:tcBorders>
            <w:shd w:val="clear" w:color="auto" w:fill="auto"/>
            <w:noWrap/>
            <w:vAlign w:val="center"/>
            <w:hideMark/>
          </w:tcPr>
          <w:p w14:paraId="58C298C4" w14:textId="77777777" w:rsidR="00691911" w:rsidRPr="00B45201" w:rsidRDefault="00691911" w:rsidP="00691911">
            <w:pPr>
              <w:spacing w:after="0" w:line="240" w:lineRule="auto"/>
              <w:rPr>
                <w:rFonts w:asciiTheme="majorHAnsi" w:hAnsiTheme="majorHAnsi" w:cstheme="majorHAnsi"/>
                <w:color w:val="595959"/>
                <w:sz w:val="18"/>
                <w:szCs w:val="18"/>
              </w:rPr>
            </w:pPr>
            <w:r w:rsidRPr="00B45201">
              <w:rPr>
                <w:rFonts w:asciiTheme="majorHAnsi" w:hAnsiTheme="majorHAnsi" w:cstheme="majorHAnsi"/>
                <w:color w:val="595959"/>
                <w:sz w:val="18"/>
                <w:szCs w:val="18"/>
              </w:rPr>
              <w:t xml:space="preserve">Oil value added at constant 2007 prices </w:t>
            </w:r>
          </w:p>
        </w:tc>
        <w:tc>
          <w:tcPr>
            <w:tcW w:w="1260" w:type="dxa"/>
            <w:tcBorders>
              <w:top w:val="nil"/>
              <w:left w:val="nil"/>
              <w:bottom w:val="nil"/>
              <w:right w:val="nil"/>
            </w:tcBorders>
            <w:shd w:val="clear" w:color="auto" w:fill="auto"/>
            <w:vAlign w:val="center"/>
          </w:tcPr>
          <w:p w14:paraId="7B6AADC9" w14:textId="2CDBE5A2"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Pr>
              <w:t>-1.4</w:t>
            </w:r>
          </w:p>
        </w:tc>
        <w:tc>
          <w:tcPr>
            <w:tcW w:w="1260" w:type="dxa"/>
            <w:tcBorders>
              <w:top w:val="nil"/>
              <w:left w:val="nil"/>
              <w:bottom w:val="nil"/>
              <w:right w:val="nil"/>
            </w:tcBorders>
            <w:shd w:val="clear" w:color="auto" w:fill="auto"/>
            <w:vAlign w:val="center"/>
          </w:tcPr>
          <w:p w14:paraId="4699F1A1" w14:textId="6601E622"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1.3</w:t>
            </w:r>
          </w:p>
        </w:tc>
        <w:tc>
          <w:tcPr>
            <w:tcW w:w="1260" w:type="dxa"/>
            <w:tcBorders>
              <w:top w:val="nil"/>
              <w:left w:val="nil"/>
              <w:bottom w:val="nil"/>
              <w:right w:val="nil"/>
            </w:tcBorders>
            <w:shd w:val="clear" w:color="auto" w:fill="auto"/>
            <w:vAlign w:val="center"/>
          </w:tcPr>
          <w:p w14:paraId="1AD77FD6" w14:textId="384E4A3C"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4.8</w:t>
            </w:r>
          </w:p>
        </w:tc>
        <w:tc>
          <w:tcPr>
            <w:tcW w:w="1260" w:type="dxa"/>
            <w:tcBorders>
              <w:top w:val="nil"/>
              <w:left w:val="nil"/>
              <w:bottom w:val="nil"/>
              <w:right w:val="nil"/>
            </w:tcBorders>
            <w:shd w:val="clear" w:color="auto" w:fill="auto"/>
            <w:vAlign w:val="center"/>
          </w:tcPr>
          <w:p w14:paraId="5850001E" w14:textId="64FF1794"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8.9</w:t>
            </w:r>
          </w:p>
        </w:tc>
        <w:tc>
          <w:tcPr>
            <w:tcW w:w="1260" w:type="dxa"/>
            <w:tcBorders>
              <w:top w:val="nil"/>
              <w:left w:val="nil"/>
              <w:bottom w:val="nil"/>
              <w:right w:val="nil"/>
            </w:tcBorders>
            <w:shd w:val="clear" w:color="auto" w:fill="auto"/>
            <w:vAlign w:val="center"/>
          </w:tcPr>
          <w:p w14:paraId="3C6B704B" w14:textId="2B630AA9"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12.8</w:t>
            </w:r>
          </w:p>
        </w:tc>
      </w:tr>
      <w:tr w:rsidR="00691911" w:rsidRPr="00B2550C" w14:paraId="1D42D4FE" w14:textId="77777777" w:rsidTr="00A01BFE">
        <w:trPr>
          <w:trHeight w:hRule="exact" w:val="336"/>
        </w:trPr>
        <w:tc>
          <w:tcPr>
            <w:tcW w:w="4005" w:type="dxa"/>
            <w:shd w:val="clear" w:color="auto" w:fill="auto"/>
            <w:noWrap/>
            <w:vAlign w:val="center"/>
            <w:hideMark/>
          </w:tcPr>
          <w:p w14:paraId="7626CA0B" w14:textId="77777777" w:rsidR="00691911" w:rsidRPr="00B45201" w:rsidRDefault="00691911" w:rsidP="00691911">
            <w:pPr>
              <w:spacing w:after="0" w:line="240" w:lineRule="auto"/>
              <w:rPr>
                <w:rFonts w:asciiTheme="majorHAnsi" w:hAnsiTheme="majorHAnsi" w:cstheme="majorHAnsi"/>
                <w:color w:val="595959"/>
                <w:sz w:val="18"/>
                <w:szCs w:val="18"/>
              </w:rPr>
            </w:pPr>
            <w:r w:rsidRPr="00B45201">
              <w:rPr>
                <w:rFonts w:asciiTheme="majorHAnsi" w:hAnsiTheme="majorHAnsi" w:cstheme="majorHAnsi"/>
                <w:color w:val="595959"/>
                <w:sz w:val="18"/>
                <w:szCs w:val="18"/>
              </w:rPr>
              <w:t>Non-oil value added at constant 2007 prices</w:t>
            </w:r>
          </w:p>
        </w:tc>
        <w:tc>
          <w:tcPr>
            <w:tcW w:w="1260" w:type="dxa"/>
            <w:tcBorders>
              <w:top w:val="nil"/>
              <w:left w:val="nil"/>
              <w:bottom w:val="nil"/>
              <w:right w:val="nil"/>
            </w:tcBorders>
            <w:shd w:val="clear" w:color="auto" w:fill="auto"/>
            <w:vAlign w:val="center"/>
          </w:tcPr>
          <w:p w14:paraId="6E892BF6" w14:textId="76D4BBD1"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1.4</w:t>
            </w:r>
          </w:p>
        </w:tc>
        <w:tc>
          <w:tcPr>
            <w:tcW w:w="1260" w:type="dxa"/>
            <w:tcBorders>
              <w:top w:val="nil"/>
              <w:left w:val="nil"/>
              <w:bottom w:val="nil"/>
              <w:right w:val="nil"/>
            </w:tcBorders>
            <w:shd w:val="clear" w:color="auto" w:fill="auto"/>
            <w:vAlign w:val="center"/>
          </w:tcPr>
          <w:p w14:paraId="1F687561" w14:textId="6E3F62CD"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3.0</w:t>
            </w:r>
          </w:p>
        </w:tc>
        <w:tc>
          <w:tcPr>
            <w:tcW w:w="1260" w:type="dxa"/>
            <w:tcBorders>
              <w:top w:val="nil"/>
              <w:left w:val="nil"/>
              <w:bottom w:val="nil"/>
              <w:right w:val="nil"/>
            </w:tcBorders>
            <w:shd w:val="clear" w:color="auto" w:fill="auto"/>
            <w:vAlign w:val="center"/>
          </w:tcPr>
          <w:p w14:paraId="056BCB34" w14:textId="6FD2B00A"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Pr>
              <w:t>-1.0</w:t>
            </w:r>
          </w:p>
        </w:tc>
        <w:tc>
          <w:tcPr>
            <w:tcW w:w="1260" w:type="dxa"/>
            <w:tcBorders>
              <w:top w:val="nil"/>
              <w:left w:val="nil"/>
              <w:bottom w:val="nil"/>
              <w:right w:val="nil"/>
            </w:tcBorders>
            <w:shd w:val="clear" w:color="auto" w:fill="auto"/>
            <w:vAlign w:val="center"/>
          </w:tcPr>
          <w:p w14:paraId="135F4FE0" w14:textId="3BA1F95A" w:rsidR="00691911" w:rsidRPr="004B5861" w:rsidRDefault="00691911" w:rsidP="00691911">
            <w:pPr>
              <w:jc w:val="right"/>
              <w:rPr>
                <w:rFonts w:ascii="Tahoma" w:hAnsi="Tahoma" w:cs="Tahoma"/>
                <w:color w:val="595959"/>
                <w:sz w:val="18"/>
                <w:szCs w:val="18"/>
              </w:rPr>
            </w:pPr>
            <w:r>
              <w:rPr>
                <w:rFonts w:ascii="Tahoma" w:hAnsi="Tahoma" w:cs="Tahoma"/>
                <w:color w:val="6D6E71"/>
                <w:sz w:val="20"/>
                <w:szCs w:val="20"/>
                <w:rtl/>
              </w:rPr>
              <w:t>-</w:t>
            </w:r>
            <w:r>
              <w:rPr>
                <w:rFonts w:ascii="Tahoma" w:hAnsi="Tahoma" w:cs="Tahoma"/>
                <w:color w:val="6D6E71"/>
                <w:sz w:val="20"/>
                <w:szCs w:val="20"/>
              </w:rPr>
              <w:t>1.1</w:t>
            </w:r>
          </w:p>
        </w:tc>
        <w:tc>
          <w:tcPr>
            <w:tcW w:w="1260" w:type="dxa"/>
            <w:tcBorders>
              <w:top w:val="nil"/>
              <w:left w:val="nil"/>
              <w:bottom w:val="nil"/>
              <w:right w:val="nil"/>
            </w:tcBorders>
            <w:shd w:val="clear" w:color="auto" w:fill="auto"/>
            <w:vAlign w:val="center"/>
          </w:tcPr>
          <w:p w14:paraId="4922061A" w14:textId="1C84A645" w:rsidR="00691911" w:rsidRPr="004B5861" w:rsidRDefault="00575397" w:rsidP="00691911">
            <w:pPr>
              <w:jc w:val="right"/>
              <w:rPr>
                <w:rFonts w:ascii="Tahoma" w:hAnsi="Tahoma" w:cs="Tahoma"/>
                <w:color w:val="595959"/>
                <w:sz w:val="18"/>
                <w:szCs w:val="18"/>
              </w:rPr>
            </w:pPr>
            <w:r>
              <w:rPr>
                <w:rFonts w:ascii="Tahoma" w:hAnsi="Tahoma" w:cs="Tahoma"/>
                <w:color w:val="6D6E71"/>
                <w:sz w:val="20"/>
                <w:szCs w:val="20"/>
              </w:rPr>
              <w:t>-</w:t>
            </w:r>
            <w:r w:rsidR="00691911">
              <w:rPr>
                <w:rFonts w:ascii="Tahoma" w:hAnsi="Tahoma" w:cs="Tahoma"/>
                <w:color w:val="6D6E71"/>
                <w:sz w:val="20"/>
                <w:szCs w:val="20"/>
                <w:rtl/>
              </w:rPr>
              <w:t>0.9</w:t>
            </w:r>
          </w:p>
        </w:tc>
      </w:tr>
      <w:tr w:rsidR="00691911" w:rsidRPr="00B62788" w14:paraId="435D4A8F" w14:textId="77777777" w:rsidTr="00F7014D">
        <w:trPr>
          <w:trHeight w:hRule="exact" w:val="336"/>
        </w:trPr>
        <w:tc>
          <w:tcPr>
            <w:tcW w:w="4005" w:type="dxa"/>
            <w:tcBorders>
              <w:bottom w:val="single" w:sz="4" w:space="0" w:color="D6A461" w:themeColor="text2"/>
            </w:tcBorders>
            <w:shd w:val="clear" w:color="auto" w:fill="D9D9D9"/>
            <w:noWrap/>
            <w:vAlign w:val="center"/>
            <w:hideMark/>
          </w:tcPr>
          <w:p w14:paraId="27F1E712"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GDP at constant 2007 prices</w:t>
            </w:r>
          </w:p>
        </w:tc>
        <w:tc>
          <w:tcPr>
            <w:tcW w:w="1260" w:type="dxa"/>
            <w:tcBorders>
              <w:top w:val="nil"/>
              <w:left w:val="nil"/>
              <w:bottom w:val="single" w:sz="4" w:space="0" w:color="D6A461"/>
              <w:right w:val="nil"/>
            </w:tcBorders>
            <w:shd w:val="clear" w:color="000000" w:fill="D9D9D9"/>
            <w:vAlign w:val="center"/>
          </w:tcPr>
          <w:p w14:paraId="60FC4CAC" w14:textId="0BE5337C" w:rsidR="00691911" w:rsidRDefault="00691911" w:rsidP="00691911">
            <w:pPr>
              <w:bidi/>
              <w:rPr>
                <w:rFonts w:ascii="Tahoma" w:hAnsi="Tahoma" w:cs="Tahoma"/>
                <w:b/>
                <w:bCs/>
                <w:color w:val="595959"/>
                <w:sz w:val="20"/>
                <w:szCs w:val="20"/>
              </w:rPr>
            </w:pPr>
            <w:r>
              <w:rPr>
                <w:rFonts w:ascii="Tahoma" w:hAnsi="Tahoma" w:cs="Tahoma"/>
                <w:b/>
                <w:bCs/>
                <w:color w:val="6D6E71"/>
                <w:sz w:val="20"/>
                <w:szCs w:val="20"/>
                <w:rtl/>
              </w:rPr>
              <w:t>0.0</w:t>
            </w:r>
          </w:p>
        </w:tc>
        <w:tc>
          <w:tcPr>
            <w:tcW w:w="1260" w:type="dxa"/>
            <w:tcBorders>
              <w:top w:val="nil"/>
              <w:left w:val="nil"/>
              <w:bottom w:val="single" w:sz="4" w:space="0" w:color="D6A461"/>
              <w:right w:val="nil"/>
            </w:tcBorders>
            <w:shd w:val="clear" w:color="000000" w:fill="D9D9D9"/>
            <w:vAlign w:val="center"/>
          </w:tcPr>
          <w:p w14:paraId="4A164085" w14:textId="3593504D" w:rsidR="00691911" w:rsidRDefault="00691911" w:rsidP="00691911">
            <w:pPr>
              <w:bidi/>
              <w:rPr>
                <w:rFonts w:ascii="Tahoma" w:hAnsi="Tahoma" w:cs="Tahoma"/>
                <w:b/>
                <w:bCs/>
                <w:color w:val="595959"/>
                <w:sz w:val="20"/>
                <w:szCs w:val="20"/>
              </w:rPr>
            </w:pPr>
            <w:r>
              <w:rPr>
                <w:rFonts w:ascii="Tahoma" w:hAnsi="Tahoma" w:cs="Tahoma"/>
                <w:b/>
                <w:bCs/>
                <w:color w:val="6D6E71"/>
                <w:sz w:val="20"/>
                <w:szCs w:val="20"/>
                <w:rtl/>
              </w:rPr>
              <w:t>2.1</w:t>
            </w:r>
          </w:p>
        </w:tc>
        <w:tc>
          <w:tcPr>
            <w:tcW w:w="1260" w:type="dxa"/>
            <w:tcBorders>
              <w:top w:val="nil"/>
              <w:left w:val="nil"/>
              <w:bottom w:val="single" w:sz="4" w:space="0" w:color="D6A461"/>
              <w:right w:val="nil"/>
            </w:tcBorders>
            <w:shd w:val="clear" w:color="000000" w:fill="D9D9D9"/>
            <w:vAlign w:val="center"/>
          </w:tcPr>
          <w:p w14:paraId="52B60695" w14:textId="1165E76A" w:rsidR="00691911" w:rsidRDefault="00691911" w:rsidP="00691911">
            <w:pPr>
              <w:bidi/>
              <w:rPr>
                <w:rFonts w:ascii="Tahoma" w:hAnsi="Tahoma" w:cs="Tahoma"/>
                <w:b/>
                <w:bCs/>
                <w:color w:val="595959"/>
                <w:sz w:val="20"/>
                <w:szCs w:val="20"/>
              </w:rPr>
            </w:pPr>
            <w:r>
              <w:rPr>
                <w:rFonts w:ascii="Tahoma" w:hAnsi="Tahoma" w:cs="Tahoma"/>
                <w:b/>
                <w:bCs/>
                <w:color w:val="6D6E71"/>
                <w:sz w:val="20"/>
                <w:szCs w:val="20"/>
                <w:rtl/>
              </w:rPr>
              <w:t>1.8</w:t>
            </w:r>
          </w:p>
        </w:tc>
        <w:tc>
          <w:tcPr>
            <w:tcW w:w="1260" w:type="dxa"/>
            <w:tcBorders>
              <w:top w:val="nil"/>
              <w:left w:val="nil"/>
              <w:bottom w:val="single" w:sz="4" w:space="0" w:color="D6A461"/>
              <w:right w:val="nil"/>
            </w:tcBorders>
            <w:shd w:val="clear" w:color="000000" w:fill="D9D9D9"/>
            <w:vAlign w:val="center"/>
          </w:tcPr>
          <w:p w14:paraId="2C275AEC" w14:textId="71768740" w:rsidR="00691911" w:rsidRDefault="00691911" w:rsidP="00691911">
            <w:pPr>
              <w:bidi/>
              <w:rPr>
                <w:rFonts w:ascii="Tahoma" w:hAnsi="Tahoma" w:cs="Tahoma"/>
                <w:b/>
                <w:bCs/>
                <w:color w:val="595959"/>
                <w:sz w:val="20"/>
                <w:szCs w:val="20"/>
              </w:rPr>
            </w:pPr>
            <w:r>
              <w:rPr>
                <w:rFonts w:ascii="Tahoma" w:hAnsi="Tahoma" w:cs="Tahoma"/>
                <w:b/>
                <w:bCs/>
                <w:color w:val="6D6E71"/>
                <w:sz w:val="20"/>
                <w:szCs w:val="20"/>
                <w:rtl/>
              </w:rPr>
              <w:t>3.7</w:t>
            </w:r>
          </w:p>
        </w:tc>
        <w:tc>
          <w:tcPr>
            <w:tcW w:w="1260" w:type="dxa"/>
            <w:tcBorders>
              <w:top w:val="nil"/>
              <w:left w:val="nil"/>
              <w:bottom w:val="single" w:sz="4" w:space="0" w:color="D6A461"/>
              <w:right w:val="nil"/>
            </w:tcBorders>
            <w:shd w:val="clear" w:color="000000" w:fill="D9D9D9"/>
            <w:vAlign w:val="center"/>
          </w:tcPr>
          <w:p w14:paraId="063A6C5E" w14:textId="6D3DA2D4" w:rsidR="00691911" w:rsidRPr="0089209C" w:rsidRDefault="00691911" w:rsidP="00691911">
            <w:pPr>
              <w:bidi/>
              <w:rPr>
                <w:rFonts w:ascii="Tahoma" w:hAnsi="Tahoma" w:cs="Tahoma"/>
                <w:b/>
                <w:bCs/>
                <w:color w:val="595959"/>
                <w:sz w:val="20"/>
                <w:szCs w:val="20"/>
              </w:rPr>
            </w:pPr>
            <w:r>
              <w:rPr>
                <w:rFonts w:ascii="Tahoma" w:hAnsi="Tahoma" w:cs="Tahoma"/>
                <w:b/>
                <w:bCs/>
                <w:color w:val="6D6E71"/>
                <w:sz w:val="20"/>
                <w:szCs w:val="20"/>
                <w:rtl/>
              </w:rPr>
              <w:t>5.7</w:t>
            </w:r>
          </w:p>
        </w:tc>
      </w:tr>
    </w:tbl>
    <w:p w14:paraId="6D022A03" w14:textId="77777777" w:rsidR="00117AE3" w:rsidRPr="00B2550C" w:rsidRDefault="00117AE3" w:rsidP="00117AE3">
      <w:pPr>
        <w:autoSpaceDE w:val="0"/>
        <w:autoSpaceDN w:val="0"/>
        <w:adjustRightInd w:val="0"/>
        <w:spacing w:after="0" w:line="240" w:lineRule="auto"/>
        <w:contextualSpacing/>
        <w:rPr>
          <w:rFonts w:ascii="Arial" w:hAnsi="Arial"/>
          <w:color w:val="595959"/>
          <w:sz w:val="20"/>
          <w:szCs w:val="20"/>
        </w:rPr>
      </w:pPr>
    </w:p>
    <w:p w14:paraId="07129BAC" w14:textId="77777777" w:rsidR="00117AE3" w:rsidRPr="00757155" w:rsidRDefault="00117AE3" w:rsidP="00917809">
      <w:pPr>
        <w:pStyle w:val="EcoSourceNote"/>
      </w:pPr>
      <w:r w:rsidRPr="00757155">
        <w:t>Source: Statistics Centre - Abu Dhabi</w:t>
      </w:r>
    </w:p>
    <w:p w14:paraId="6FEABC38" w14:textId="77777777" w:rsidR="00117AE3" w:rsidRPr="00757155" w:rsidRDefault="00117AE3" w:rsidP="00917809">
      <w:pPr>
        <w:pStyle w:val="EcoTableChartNotes"/>
      </w:pPr>
      <w:r w:rsidRPr="00757155">
        <w:t>*Preliminary estimates</w:t>
      </w:r>
    </w:p>
    <w:p w14:paraId="0E51A29D" w14:textId="77777777" w:rsidR="00117AE3" w:rsidRDefault="00117AE3" w:rsidP="00117AE3">
      <w:pPr>
        <w:autoSpaceDE w:val="0"/>
        <w:autoSpaceDN w:val="0"/>
        <w:adjustRightInd w:val="0"/>
        <w:spacing w:after="0" w:line="240" w:lineRule="auto"/>
        <w:contextualSpacing/>
        <w:rPr>
          <w:rFonts w:ascii="Arial" w:eastAsia="Calibri" w:hAnsi="Arial"/>
          <w:b/>
          <w:bCs/>
          <w:color w:val="595959"/>
          <w:sz w:val="20"/>
          <w:szCs w:val="20"/>
        </w:rPr>
      </w:pPr>
    </w:p>
    <w:p w14:paraId="6CD815EF" w14:textId="77777777" w:rsidR="00117AE3" w:rsidRDefault="00117AE3" w:rsidP="00117AE3">
      <w:pPr>
        <w:autoSpaceDE w:val="0"/>
        <w:autoSpaceDN w:val="0"/>
        <w:adjustRightInd w:val="0"/>
        <w:spacing w:after="0" w:line="240" w:lineRule="auto"/>
        <w:contextualSpacing/>
        <w:rPr>
          <w:rFonts w:ascii="Arial" w:eastAsia="Calibri" w:hAnsi="Arial"/>
          <w:b/>
          <w:bCs/>
          <w:color w:val="595959"/>
          <w:sz w:val="20"/>
          <w:szCs w:val="20"/>
        </w:rPr>
      </w:pPr>
    </w:p>
    <w:p w14:paraId="006B9C8B" w14:textId="7FBDF70B" w:rsidR="00E65D8D" w:rsidRPr="00B2550C" w:rsidRDefault="00E65D8D" w:rsidP="00E65D8D">
      <w:pPr>
        <w:autoSpaceDE w:val="0"/>
        <w:autoSpaceDN w:val="0"/>
        <w:adjustRightInd w:val="0"/>
        <w:spacing w:after="0"/>
        <w:ind w:hanging="720"/>
        <w:rPr>
          <w:rFonts w:ascii="Arial" w:eastAsia="Calibri" w:hAnsi="Arial"/>
          <w:b/>
          <w:color w:val="595959"/>
        </w:rPr>
      </w:pPr>
      <w:r w:rsidRPr="00263BBB">
        <w:rPr>
          <w:rFonts w:ascii="Arial" w:eastAsia="Calibri" w:hAnsi="Arial"/>
          <w:b/>
          <w:color w:val="D6A461" w:themeColor="text2"/>
        </w:rPr>
        <w:t xml:space="preserve">Table </w:t>
      </w:r>
      <w:r>
        <w:rPr>
          <w:rFonts w:ascii="Arial" w:eastAsia="Calibri" w:hAnsi="Arial"/>
          <w:b/>
          <w:color w:val="D6A461" w:themeColor="text2"/>
        </w:rPr>
        <w:t>4</w:t>
      </w:r>
      <w:r w:rsidRPr="00263BBB">
        <w:rPr>
          <w:rFonts w:ascii="Arial" w:eastAsia="Calibri" w:hAnsi="Arial"/>
          <w:b/>
          <w:color w:val="D6A461" w:themeColor="text2"/>
        </w:rPr>
        <w:t xml:space="preserve">: </w:t>
      </w:r>
      <w:r w:rsidRPr="00B2550C">
        <w:rPr>
          <w:rFonts w:ascii="Arial" w:eastAsia="Calibri" w:hAnsi="Arial"/>
          <w:b/>
          <w:color w:val="595959"/>
        </w:rPr>
        <w:t>Percentage change in Oil and Non-oil Gross Domestic Product at current and constant prices</w:t>
      </w:r>
      <w:r w:rsidRPr="00263BBB">
        <w:rPr>
          <w:rFonts w:ascii="Arial" w:eastAsia="Calibri" w:hAnsi="Arial"/>
          <w:b/>
          <w:color w:val="C00000"/>
        </w:rPr>
        <w:t>*</w:t>
      </w:r>
    </w:p>
    <w:p w14:paraId="3B6129B5" w14:textId="325DBBD6" w:rsidR="00E65D8D" w:rsidRPr="00B2550C" w:rsidRDefault="00E65D8D" w:rsidP="00E65D8D">
      <w:pPr>
        <w:spacing w:after="0" w:line="240" w:lineRule="auto"/>
        <w:ind w:hanging="720"/>
        <w:rPr>
          <w:rFonts w:ascii="Arial" w:hAnsi="Arial"/>
          <w:color w:val="595959"/>
          <w:sz w:val="20"/>
          <w:szCs w:val="20"/>
        </w:rPr>
      </w:pPr>
      <w:r w:rsidRPr="00E65D8D">
        <w:rPr>
          <w:rFonts w:ascii="Arial" w:hAnsi="Arial"/>
          <w:color w:val="595959"/>
          <w:sz w:val="20"/>
          <w:szCs w:val="20"/>
        </w:rPr>
        <w:t>Percentage change from the previous quarter</w:t>
      </w:r>
      <w:r w:rsidR="00BE0103">
        <w:rPr>
          <w:rFonts w:ascii="Arial" w:hAnsi="Arial"/>
          <w:color w:val="595959"/>
          <w:sz w:val="20"/>
          <w:szCs w:val="20"/>
        </w:rPr>
        <w:tab/>
      </w:r>
    </w:p>
    <w:tbl>
      <w:tblPr>
        <w:tblW w:w="10121" w:type="dxa"/>
        <w:tblInd w:w="-765" w:type="dxa"/>
        <w:tblLook w:val="04A0" w:firstRow="1" w:lastRow="0" w:firstColumn="1" w:lastColumn="0" w:noHBand="0" w:noVBand="1"/>
      </w:tblPr>
      <w:tblGrid>
        <w:gridCol w:w="4005"/>
        <w:gridCol w:w="1260"/>
        <w:gridCol w:w="1170"/>
        <w:gridCol w:w="1260"/>
        <w:gridCol w:w="1170"/>
        <w:gridCol w:w="239"/>
        <w:gridCol w:w="1017"/>
      </w:tblGrid>
      <w:tr w:rsidR="00691911" w:rsidRPr="00B2550C" w14:paraId="2F2DBA21" w14:textId="77777777" w:rsidTr="00FE0890">
        <w:trPr>
          <w:trHeight w:val="329"/>
        </w:trPr>
        <w:tc>
          <w:tcPr>
            <w:tcW w:w="4005" w:type="dxa"/>
            <w:shd w:val="clear" w:color="auto" w:fill="D6A461" w:themeFill="text2"/>
            <w:noWrap/>
            <w:vAlign w:val="center"/>
            <w:hideMark/>
          </w:tcPr>
          <w:p w14:paraId="1989DADA" w14:textId="77777777"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Production measure</w:t>
            </w:r>
            <w:r>
              <w:rPr>
                <w:rFonts w:ascii="Tahoma" w:hAnsi="Tahoma" w:cs="Tahoma"/>
                <w:b/>
                <w:bCs/>
                <w:color w:val="FFFFFF"/>
                <w:sz w:val="20"/>
                <w:szCs w:val="20"/>
              </w:rPr>
              <w:br/>
              <w:t>Seasonally adjusted</w:t>
            </w:r>
          </w:p>
        </w:tc>
        <w:tc>
          <w:tcPr>
            <w:tcW w:w="1260" w:type="dxa"/>
            <w:shd w:val="clear" w:color="auto" w:fill="D6A461" w:themeFill="text2"/>
            <w:vAlign w:val="center"/>
            <w:hideMark/>
          </w:tcPr>
          <w:p w14:paraId="589D90D2" w14:textId="6AB41728" w:rsidR="00691911" w:rsidRPr="008215A6"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Q1 2018</w:t>
            </w:r>
          </w:p>
        </w:tc>
        <w:tc>
          <w:tcPr>
            <w:tcW w:w="1170" w:type="dxa"/>
            <w:shd w:val="clear" w:color="auto" w:fill="D6A461" w:themeFill="text2"/>
            <w:vAlign w:val="center"/>
          </w:tcPr>
          <w:p w14:paraId="2FC9A7E6" w14:textId="22F72E97"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Q2 2018</w:t>
            </w:r>
          </w:p>
        </w:tc>
        <w:tc>
          <w:tcPr>
            <w:tcW w:w="1260" w:type="dxa"/>
            <w:shd w:val="clear" w:color="auto" w:fill="D6A461" w:themeFill="text2"/>
            <w:vAlign w:val="center"/>
          </w:tcPr>
          <w:p w14:paraId="663AF3B3" w14:textId="7B5E6ECB"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Q3 2018</w:t>
            </w:r>
          </w:p>
        </w:tc>
        <w:tc>
          <w:tcPr>
            <w:tcW w:w="1170" w:type="dxa"/>
            <w:shd w:val="clear" w:color="auto" w:fill="D6A461" w:themeFill="text2"/>
            <w:vAlign w:val="center"/>
          </w:tcPr>
          <w:p w14:paraId="7EA40F5D" w14:textId="11EE7C22"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Q4 2018</w:t>
            </w:r>
          </w:p>
        </w:tc>
        <w:tc>
          <w:tcPr>
            <w:tcW w:w="1256" w:type="dxa"/>
            <w:gridSpan w:val="2"/>
            <w:shd w:val="clear" w:color="auto" w:fill="D6A461" w:themeFill="text2"/>
            <w:vAlign w:val="center"/>
          </w:tcPr>
          <w:p w14:paraId="76EE4DDB" w14:textId="20286C4E"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Q1 2019</w:t>
            </w:r>
          </w:p>
        </w:tc>
      </w:tr>
      <w:tr w:rsidR="00691911" w:rsidRPr="00B2550C" w14:paraId="5A40C7A0" w14:textId="77777777" w:rsidTr="00AE2541">
        <w:trPr>
          <w:trHeight w:hRule="exact" w:val="336"/>
        </w:trPr>
        <w:tc>
          <w:tcPr>
            <w:tcW w:w="4005" w:type="dxa"/>
            <w:shd w:val="clear" w:color="auto" w:fill="auto"/>
            <w:noWrap/>
            <w:vAlign w:val="center"/>
            <w:hideMark/>
          </w:tcPr>
          <w:p w14:paraId="084A494D" w14:textId="77777777" w:rsidR="00691911" w:rsidRPr="00B45201" w:rsidRDefault="00691911" w:rsidP="00691911">
            <w:pPr>
              <w:spacing w:after="0" w:line="240" w:lineRule="auto"/>
              <w:rPr>
                <w:rFonts w:asciiTheme="majorHAnsi" w:hAnsiTheme="majorHAnsi" w:cstheme="majorHAnsi"/>
                <w:color w:val="595959"/>
                <w:sz w:val="18"/>
                <w:szCs w:val="18"/>
              </w:rPr>
            </w:pPr>
            <w:r w:rsidRPr="00B45201">
              <w:rPr>
                <w:rFonts w:asciiTheme="majorHAnsi" w:hAnsiTheme="majorHAnsi" w:cstheme="majorHAnsi"/>
                <w:color w:val="595959"/>
                <w:sz w:val="18"/>
                <w:szCs w:val="18"/>
              </w:rPr>
              <w:t xml:space="preserve">Oil value added at current prices </w:t>
            </w:r>
          </w:p>
        </w:tc>
        <w:tc>
          <w:tcPr>
            <w:tcW w:w="1260" w:type="dxa"/>
            <w:tcBorders>
              <w:top w:val="nil"/>
              <w:left w:val="nil"/>
              <w:bottom w:val="nil"/>
              <w:right w:val="nil"/>
            </w:tcBorders>
            <w:shd w:val="clear" w:color="auto" w:fill="auto"/>
            <w:vAlign w:val="center"/>
          </w:tcPr>
          <w:p w14:paraId="24EAC320" w14:textId="3D20C23E"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4.3</w:t>
            </w:r>
          </w:p>
        </w:tc>
        <w:tc>
          <w:tcPr>
            <w:tcW w:w="1170" w:type="dxa"/>
            <w:tcBorders>
              <w:top w:val="nil"/>
              <w:left w:val="nil"/>
              <w:bottom w:val="nil"/>
              <w:right w:val="nil"/>
            </w:tcBorders>
            <w:shd w:val="clear" w:color="auto" w:fill="auto"/>
            <w:vAlign w:val="center"/>
          </w:tcPr>
          <w:p w14:paraId="5D4C6649" w14:textId="25EEF8CA"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14.5</w:t>
            </w:r>
          </w:p>
        </w:tc>
        <w:tc>
          <w:tcPr>
            <w:tcW w:w="1260" w:type="dxa"/>
            <w:tcBorders>
              <w:top w:val="nil"/>
              <w:left w:val="nil"/>
              <w:bottom w:val="nil"/>
              <w:right w:val="nil"/>
            </w:tcBorders>
            <w:shd w:val="clear" w:color="auto" w:fill="auto"/>
            <w:vAlign w:val="center"/>
          </w:tcPr>
          <w:p w14:paraId="56FCD92F" w14:textId="1A860040"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8.6</w:t>
            </w:r>
          </w:p>
        </w:tc>
        <w:tc>
          <w:tcPr>
            <w:tcW w:w="1409" w:type="dxa"/>
            <w:gridSpan w:val="2"/>
            <w:tcBorders>
              <w:top w:val="nil"/>
              <w:left w:val="nil"/>
              <w:bottom w:val="nil"/>
              <w:right w:val="nil"/>
            </w:tcBorders>
            <w:shd w:val="clear" w:color="auto" w:fill="auto"/>
            <w:vAlign w:val="center"/>
          </w:tcPr>
          <w:p w14:paraId="3D24B1AC" w14:textId="0211D7A5"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2.5</w:t>
            </w:r>
          </w:p>
        </w:tc>
        <w:tc>
          <w:tcPr>
            <w:tcW w:w="1017" w:type="dxa"/>
            <w:tcBorders>
              <w:top w:val="nil"/>
              <w:left w:val="nil"/>
              <w:bottom w:val="nil"/>
              <w:right w:val="nil"/>
            </w:tcBorders>
            <w:shd w:val="clear" w:color="auto" w:fill="auto"/>
            <w:vAlign w:val="center"/>
          </w:tcPr>
          <w:p w14:paraId="43C0E5E8" w14:textId="0B181984" w:rsidR="00691911" w:rsidRPr="004B5861" w:rsidRDefault="00575397" w:rsidP="00691911">
            <w:pPr>
              <w:jc w:val="center"/>
              <w:rPr>
                <w:rFonts w:ascii="Tahoma" w:hAnsi="Tahoma" w:cs="Tahoma"/>
                <w:color w:val="595959"/>
                <w:sz w:val="18"/>
                <w:szCs w:val="18"/>
              </w:rPr>
            </w:pPr>
            <w:r>
              <w:rPr>
                <w:rFonts w:ascii="Tahoma" w:hAnsi="Tahoma" w:cs="Tahoma"/>
                <w:color w:val="6D6E71"/>
                <w:sz w:val="20"/>
                <w:szCs w:val="20"/>
              </w:rPr>
              <w:t>-</w:t>
            </w:r>
            <w:r w:rsidR="00691911">
              <w:rPr>
                <w:rFonts w:ascii="Tahoma" w:hAnsi="Tahoma" w:cs="Tahoma"/>
                <w:color w:val="6D6E71"/>
                <w:sz w:val="20"/>
                <w:szCs w:val="20"/>
                <w:rtl/>
              </w:rPr>
              <w:t>12.5</w:t>
            </w:r>
          </w:p>
        </w:tc>
      </w:tr>
      <w:tr w:rsidR="00691911" w:rsidRPr="00B2550C" w14:paraId="6A105DE3" w14:textId="77777777" w:rsidTr="00AE2541">
        <w:trPr>
          <w:trHeight w:hRule="exact" w:val="336"/>
        </w:trPr>
        <w:tc>
          <w:tcPr>
            <w:tcW w:w="4005" w:type="dxa"/>
            <w:shd w:val="clear" w:color="auto" w:fill="auto"/>
            <w:noWrap/>
            <w:vAlign w:val="center"/>
            <w:hideMark/>
          </w:tcPr>
          <w:p w14:paraId="023736DF" w14:textId="77777777" w:rsidR="00691911" w:rsidRPr="00B45201" w:rsidRDefault="00691911" w:rsidP="00691911">
            <w:pPr>
              <w:spacing w:after="0" w:line="240" w:lineRule="auto"/>
              <w:rPr>
                <w:rFonts w:asciiTheme="majorHAnsi" w:hAnsiTheme="majorHAnsi" w:cstheme="majorHAnsi"/>
                <w:color w:val="595959"/>
                <w:sz w:val="18"/>
                <w:szCs w:val="18"/>
              </w:rPr>
            </w:pPr>
            <w:r w:rsidRPr="00B45201">
              <w:rPr>
                <w:rFonts w:asciiTheme="majorHAnsi" w:hAnsiTheme="majorHAnsi" w:cstheme="majorHAnsi"/>
                <w:color w:val="595959"/>
                <w:sz w:val="18"/>
                <w:szCs w:val="18"/>
              </w:rPr>
              <w:t xml:space="preserve">Non-oil value added at current prices </w:t>
            </w:r>
          </w:p>
        </w:tc>
        <w:tc>
          <w:tcPr>
            <w:tcW w:w="1260" w:type="dxa"/>
            <w:tcBorders>
              <w:top w:val="nil"/>
              <w:left w:val="nil"/>
              <w:bottom w:val="nil"/>
              <w:right w:val="nil"/>
            </w:tcBorders>
            <w:shd w:val="clear" w:color="auto" w:fill="auto"/>
            <w:vAlign w:val="center"/>
          </w:tcPr>
          <w:p w14:paraId="1B40B226" w14:textId="388F5A58"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0.3</w:t>
            </w:r>
          </w:p>
        </w:tc>
        <w:tc>
          <w:tcPr>
            <w:tcW w:w="1170" w:type="dxa"/>
            <w:tcBorders>
              <w:top w:val="nil"/>
              <w:left w:val="nil"/>
              <w:bottom w:val="nil"/>
              <w:right w:val="nil"/>
            </w:tcBorders>
            <w:shd w:val="clear" w:color="auto" w:fill="auto"/>
            <w:vAlign w:val="center"/>
          </w:tcPr>
          <w:p w14:paraId="1BFF2AEF" w14:textId="313F1736"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0.7</w:t>
            </w:r>
          </w:p>
        </w:tc>
        <w:tc>
          <w:tcPr>
            <w:tcW w:w="1260" w:type="dxa"/>
            <w:tcBorders>
              <w:top w:val="nil"/>
              <w:left w:val="nil"/>
              <w:bottom w:val="nil"/>
              <w:right w:val="nil"/>
            </w:tcBorders>
            <w:shd w:val="clear" w:color="auto" w:fill="auto"/>
            <w:vAlign w:val="center"/>
          </w:tcPr>
          <w:p w14:paraId="271ED61D" w14:textId="7091A963"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Pr>
              <w:t>-1.5</w:t>
            </w:r>
          </w:p>
        </w:tc>
        <w:tc>
          <w:tcPr>
            <w:tcW w:w="1409" w:type="dxa"/>
            <w:gridSpan w:val="2"/>
            <w:tcBorders>
              <w:top w:val="nil"/>
              <w:left w:val="nil"/>
              <w:bottom w:val="nil"/>
              <w:right w:val="nil"/>
            </w:tcBorders>
            <w:shd w:val="clear" w:color="auto" w:fill="auto"/>
            <w:vAlign w:val="center"/>
          </w:tcPr>
          <w:p w14:paraId="6508CE5B" w14:textId="165F11AB"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2.1</w:t>
            </w:r>
          </w:p>
        </w:tc>
        <w:tc>
          <w:tcPr>
            <w:tcW w:w="1017" w:type="dxa"/>
            <w:tcBorders>
              <w:top w:val="nil"/>
              <w:left w:val="nil"/>
              <w:bottom w:val="nil"/>
              <w:right w:val="nil"/>
            </w:tcBorders>
            <w:shd w:val="clear" w:color="auto" w:fill="auto"/>
            <w:vAlign w:val="center"/>
          </w:tcPr>
          <w:p w14:paraId="1DE15F43" w14:textId="703ED59D" w:rsidR="00691911" w:rsidRPr="004B5861" w:rsidRDefault="00575397" w:rsidP="00691911">
            <w:pPr>
              <w:jc w:val="center"/>
              <w:rPr>
                <w:rFonts w:ascii="Tahoma" w:hAnsi="Tahoma" w:cs="Tahoma"/>
                <w:color w:val="595959"/>
                <w:sz w:val="18"/>
                <w:szCs w:val="18"/>
                <w:rtl/>
              </w:rPr>
            </w:pPr>
            <w:r>
              <w:rPr>
                <w:rFonts w:ascii="Tahoma" w:hAnsi="Tahoma" w:cs="Tahoma"/>
                <w:color w:val="6D6E71"/>
                <w:sz w:val="20"/>
                <w:szCs w:val="20"/>
              </w:rPr>
              <w:t>-</w:t>
            </w:r>
            <w:r w:rsidR="00691911">
              <w:rPr>
                <w:rFonts w:ascii="Tahoma" w:hAnsi="Tahoma" w:cs="Tahoma"/>
                <w:color w:val="6D6E71"/>
                <w:sz w:val="20"/>
                <w:szCs w:val="20"/>
                <w:rtl/>
              </w:rPr>
              <w:t>2.9</w:t>
            </w:r>
          </w:p>
        </w:tc>
      </w:tr>
      <w:tr w:rsidR="00691911" w:rsidRPr="00B2550C" w14:paraId="368813B7" w14:textId="77777777" w:rsidTr="00AE2541">
        <w:trPr>
          <w:trHeight w:hRule="exact" w:val="336"/>
        </w:trPr>
        <w:tc>
          <w:tcPr>
            <w:tcW w:w="4005" w:type="dxa"/>
            <w:tcBorders>
              <w:bottom w:val="single" w:sz="4" w:space="0" w:color="D6A461" w:themeColor="text2"/>
            </w:tcBorders>
            <w:shd w:val="clear" w:color="auto" w:fill="D9D9D9"/>
            <w:noWrap/>
            <w:vAlign w:val="center"/>
            <w:hideMark/>
          </w:tcPr>
          <w:p w14:paraId="10EEB16C"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 xml:space="preserve">GDP at current prices </w:t>
            </w:r>
          </w:p>
        </w:tc>
        <w:tc>
          <w:tcPr>
            <w:tcW w:w="1260" w:type="dxa"/>
            <w:tcBorders>
              <w:top w:val="nil"/>
              <w:left w:val="nil"/>
              <w:bottom w:val="single" w:sz="4" w:space="0" w:color="D6A461"/>
              <w:right w:val="nil"/>
            </w:tcBorders>
            <w:shd w:val="clear" w:color="000000" w:fill="D9D9D9"/>
            <w:vAlign w:val="center"/>
          </w:tcPr>
          <w:p w14:paraId="30193B8D" w14:textId="18879444" w:rsidR="00691911" w:rsidRPr="004B5861" w:rsidRDefault="00691911" w:rsidP="00691911">
            <w:pPr>
              <w:bidi/>
              <w:jc w:val="center"/>
              <w:rPr>
                <w:rFonts w:ascii="Tahoma" w:hAnsi="Tahoma" w:cs="Tahoma"/>
                <w:b/>
                <w:bCs/>
                <w:color w:val="595959"/>
                <w:sz w:val="20"/>
                <w:szCs w:val="20"/>
              </w:rPr>
            </w:pPr>
            <w:r>
              <w:rPr>
                <w:rFonts w:ascii="Tahoma" w:hAnsi="Tahoma" w:cs="Tahoma"/>
                <w:b/>
                <w:bCs/>
                <w:color w:val="6D6E71"/>
                <w:sz w:val="20"/>
                <w:szCs w:val="20"/>
                <w:rtl/>
              </w:rPr>
              <w:t>1.7</w:t>
            </w:r>
          </w:p>
        </w:tc>
        <w:tc>
          <w:tcPr>
            <w:tcW w:w="1170" w:type="dxa"/>
            <w:tcBorders>
              <w:top w:val="nil"/>
              <w:left w:val="nil"/>
              <w:bottom w:val="single" w:sz="4" w:space="0" w:color="D6A461"/>
              <w:right w:val="nil"/>
            </w:tcBorders>
            <w:shd w:val="clear" w:color="000000" w:fill="D9D9D9"/>
            <w:vAlign w:val="center"/>
          </w:tcPr>
          <w:p w14:paraId="530E565B" w14:textId="1E21E7D3" w:rsidR="00691911" w:rsidRPr="004B5861" w:rsidRDefault="00691911" w:rsidP="00691911">
            <w:pPr>
              <w:bidi/>
              <w:jc w:val="center"/>
              <w:rPr>
                <w:rFonts w:ascii="Tahoma" w:hAnsi="Tahoma" w:cs="Tahoma"/>
                <w:b/>
                <w:bCs/>
                <w:color w:val="595959"/>
                <w:sz w:val="20"/>
                <w:szCs w:val="20"/>
              </w:rPr>
            </w:pPr>
            <w:r>
              <w:rPr>
                <w:rFonts w:ascii="Tahoma" w:hAnsi="Tahoma" w:cs="Tahoma"/>
                <w:b/>
                <w:bCs/>
                <w:color w:val="6D6E71"/>
                <w:sz w:val="20"/>
                <w:szCs w:val="20"/>
                <w:rtl/>
              </w:rPr>
              <w:t>5.8</w:t>
            </w:r>
          </w:p>
        </w:tc>
        <w:tc>
          <w:tcPr>
            <w:tcW w:w="1260" w:type="dxa"/>
            <w:tcBorders>
              <w:top w:val="nil"/>
              <w:left w:val="nil"/>
              <w:bottom w:val="single" w:sz="4" w:space="0" w:color="D6A461"/>
              <w:right w:val="nil"/>
            </w:tcBorders>
            <w:shd w:val="clear" w:color="000000" w:fill="D9D9D9"/>
            <w:vAlign w:val="center"/>
          </w:tcPr>
          <w:p w14:paraId="6813BB7F" w14:textId="1C4695B3" w:rsidR="00691911" w:rsidRPr="004B5861" w:rsidRDefault="00691911" w:rsidP="00691911">
            <w:pPr>
              <w:bidi/>
              <w:jc w:val="center"/>
              <w:rPr>
                <w:rFonts w:ascii="Tahoma" w:hAnsi="Tahoma" w:cs="Tahoma"/>
                <w:b/>
                <w:bCs/>
                <w:color w:val="595959"/>
                <w:sz w:val="20"/>
                <w:szCs w:val="20"/>
              </w:rPr>
            </w:pPr>
            <w:r>
              <w:rPr>
                <w:rFonts w:ascii="Tahoma" w:hAnsi="Tahoma" w:cs="Tahoma"/>
                <w:b/>
                <w:bCs/>
                <w:color w:val="6D6E71"/>
                <w:sz w:val="20"/>
                <w:szCs w:val="20"/>
                <w:rtl/>
              </w:rPr>
              <w:t>2.5</w:t>
            </w:r>
          </w:p>
        </w:tc>
        <w:tc>
          <w:tcPr>
            <w:tcW w:w="1409" w:type="dxa"/>
            <w:gridSpan w:val="2"/>
            <w:tcBorders>
              <w:top w:val="nil"/>
              <w:left w:val="nil"/>
              <w:bottom w:val="single" w:sz="4" w:space="0" w:color="D6A461"/>
              <w:right w:val="nil"/>
            </w:tcBorders>
            <w:shd w:val="clear" w:color="000000" w:fill="D9D9D9"/>
            <w:vAlign w:val="center"/>
          </w:tcPr>
          <w:p w14:paraId="580CDA31" w14:textId="52B75B6B" w:rsidR="00691911" w:rsidRPr="004B5861" w:rsidRDefault="00691911" w:rsidP="00691911">
            <w:pPr>
              <w:bidi/>
              <w:jc w:val="center"/>
              <w:rPr>
                <w:rFonts w:ascii="Tahoma" w:hAnsi="Tahoma" w:cs="Tahoma"/>
                <w:b/>
                <w:bCs/>
                <w:color w:val="595959"/>
                <w:sz w:val="20"/>
                <w:szCs w:val="20"/>
              </w:rPr>
            </w:pPr>
            <w:r>
              <w:rPr>
                <w:rFonts w:ascii="Tahoma" w:hAnsi="Tahoma" w:cs="Tahoma"/>
                <w:b/>
                <w:bCs/>
                <w:color w:val="6D6E71"/>
                <w:sz w:val="20"/>
                <w:szCs w:val="20"/>
                <w:rtl/>
              </w:rPr>
              <w:t>2.3</w:t>
            </w:r>
          </w:p>
        </w:tc>
        <w:tc>
          <w:tcPr>
            <w:tcW w:w="1017" w:type="dxa"/>
            <w:tcBorders>
              <w:top w:val="nil"/>
              <w:left w:val="nil"/>
              <w:bottom w:val="single" w:sz="4" w:space="0" w:color="D6A461"/>
              <w:right w:val="nil"/>
            </w:tcBorders>
            <w:shd w:val="clear" w:color="000000" w:fill="D9D9D9"/>
            <w:vAlign w:val="center"/>
          </w:tcPr>
          <w:p w14:paraId="001B6897" w14:textId="4F1E6A65" w:rsidR="00691911" w:rsidRPr="00BE0103" w:rsidRDefault="00691911" w:rsidP="00691911">
            <w:pPr>
              <w:bidi/>
              <w:jc w:val="center"/>
              <w:rPr>
                <w:rFonts w:ascii="Tahoma" w:hAnsi="Tahoma" w:cs="Tahoma"/>
                <w:b/>
                <w:bCs/>
                <w:color w:val="595959"/>
                <w:sz w:val="20"/>
                <w:szCs w:val="20"/>
                <w:rtl/>
              </w:rPr>
            </w:pPr>
            <w:r>
              <w:rPr>
                <w:rFonts w:ascii="Tahoma" w:hAnsi="Tahoma" w:cs="Tahoma"/>
                <w:b/>
                <w:bCs/>
                <w:color w:val="6D6E71"/>
                <w:sz w:val="20"/>
                <w:szCs w:val="20"/>
                <w:rtl/>
              </w:rPr>
              <w:t>6.9</w:t>
            </w:r>
            <w:r w:rsidR="00575397">
              <w:rPr>
                <w:rFonts w:ascii="Tahoma" w:hAnsi="Tahoma" w:cs="Tahoma"/>
                <w:b/>
                <w:bCs/>
                <w:color w:val="6D6E71"/>
                <w:sz w:val="20"/>
                <w:szCs w:val="20"/>
              </w:rPr>
              <w:t>-</w:t>
            </w:r>
          </w:p>
        </w:tc>
      </w:tr>
      <w:tr w:rsidR="00691911" w:rsidRPr="00B2550C" w14:paraId="30003B42" w14:textId="77777777" w:rsidTr="00AE2541">
        <w:trPr>
          <w:trHeight w:hRule="exact" w:val="336"/>
        </w:trPr>
        <w:tc>
          <w:tcPr>
            <w:tcW w:w="4005" w:type="dxa"/>
            <w:tcBorders>
              <w:top w:val="single" w:sz="4" w:space="0" w:color="D6A461" w:themeColor="text2"/>
            </w:tcBorders>
            <w:shd w:val="clear" w:color="auto" w:fill="auto"/>
            <w:noWrap/>
            <w:vAlign w:val="center"/>
            <w:hideMark/>
          </w:tcPr>
          <w:p w14:paraId="1D69296D" w14:textId="77777777" w:rsidR="00691911" w:rsidRPr="00B45201" w:rsidRDefault="00691911" w:rsidP="00691911">
            <w:pPr>
              <w:spacing w:after="0" w:line="240" w:lineRule="auto"/>
              <w:rPr>
                <w:rFonts w:asciiTheme="majorHAnsi" w:hAnsiTheme="majorHAnsi" w:cstheme="majorHAnsi"/>
                <w:color w:val="595959"/>
                <w:sz w:val="18"/>
                <w:szCs w:val="18"/>
              </w:rPr>
            </w:pPr>
            <w:r w:rsidRPr="00B45201">
              <w:rPr>
                <w:rFonts w:asciiTheme="majorHAnsi" w:hAnsiTheme="majorHAnsi" w:cstheme="majorHAnsi"/>
                <w:color w:val="595959"/>
                <w:sz w:val="18"/>
                <w:szCs w:val="18"/>
              </w:rPr>
              <w:t xml:space="preserve">Oil value added at constant 2007 prices </w:t>
            </w:r>
          </w:p>
        </w:tc>
        <w:tc>
          <w:tcPr>
            <w:tcW w:w="1260" w:type="dxa"/>
            <w:tcBorders>
              <w:top w:val="nil"/>
              <w:left w:val="nil"/>
              <w:bottom w:val="nil"/>
              <w:right w:val="nil"/>
            </w:tcBorders>
            <w:shd w:val="clear" w:color="auto" w:fill="auto"/>
            <w:vAlign w:val="center"/>
          </w:tcPr>
          <w:p w14:paraId="66670992" w14:textId="76E6DBCA"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1.5</w:t>
            </w:r>
          </w:p>
        </w:tc>
        <w:tc>
          <w:tcPr>
            <w:tcW w:w="1170" w:type="dxa"/>
            <w:tcBorders>
              <w:top w:val="nil"/>
              <w:left w:val="nil"/>
              <w:bottom w:val="nil"/>
              <w:right w:val="nil"/>
            </w:tcBorders>
            <w:shd w:val="clear" w:color="auto" w:fill="auto"/>
            <w:vAlign w:val="center"/>
          </w:tcPr>
          <w:p w14:paraId="19E7111D" w14:textId="15AB7496"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1.5</w:t>
            </w:r>
          </w:p>
        </w:tc>
        <w:tc>
          <w:tcPr>
            <w:tcW w:w="1260" w:type="dxa"/>
            <w:tcBorders>
              <w:top w:val="nil"/>
              <w:left w:val="nil"/>
              <w:bottom w:val="nil"/>
              <w:right w:val="nil"/>
            </w:tcBorders>
            <w:shd w:val="clear" w:color="auto" w:fill="auto"/>
            <w:vAlign w:val="center"/>
          </w:tcPr>
          <w:p w14:paraId="50884EAA" w14:textId="53510F9E"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2.4</w:t>
            </w:r>
          </w:p>
        </w:tc>
        <w:tc>
          <w:tcPr>
            <w:tcW w:w="1409" w:type="dxa"/>
            <w:gridSpan w:val="2"/>
            <w:tcBorders>
              <w:top w:val="nil"/>
              <w:left w:val="nil"/>
              <w:bottom w:val="nil"/>
              <w:right w:val="nil"/>
            </w:tcBorders>
            <w:shd w:val="clear" w:color="auto" w:fill="auto"/>
            <w:vAlign w:val="center"/>
          </w:tcPr>
          <w:p w14:paraId="183EB464" w14:textId="5B0ADA91"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3.2</w:t>
            </w:r>
          </w:p>
        </w:tc>
        <w:tc>
          <w:tcPr>
            <w:tcW w:w="1017" w:type="dxa"/>
            <w:tcBorders>
              <w:top w:val="nil"/>
              <w:left w:val="nil"/>
              <w:bottom w:val="nil"/>
              <w:right w:val="nil"/>
            </w:tcBorders>
            <w:shd w:val="clear" w:color="auto" w:fill="auto"/>
            <w:vAlign w:val="center"/>
          </w:tcPr>
          <w:p w14:paraId="389B11A2" w14:textId="4FEDB8FF" w:rsidR="00691911" w:rsidRPr="004B5861" w:rsidRDefault="00691911" w:rsidP="00691911">
            <w:pPr>
              <w:jc w:val="center"/>
              <w:rPr>
                <w:rFonts w:ascii="Tahoma" w:hAnsi="Tahoma" w:cs="Tahoma"/>
                <w:color w:val="595959"/>
                <w:sz w:val="18"/>
                <w:szCs w:val="18"/>
                <w:rtl/>
              </w:rPr>
            </w:pPr>
            <w:r>
              <w:rPr>
                <w:rFonts w:ascii="Tahoma" w:hAnsi="Tahoma" w:cs="Tahoma"/>
                <w:color w:val="6D6E71"/>
                <w:sz w:val="20"/>
                <w:szCs w:val="20"/>
                <w:rtl/>
              </w:rPr>
              <w:t>5.1</w:t>
            </w:r>
          </w:p>
        </w:tc>
      </w:tr>
      <w:tr w:rsidR="00691911" w:rsidRPr="00B2550C" w14:paraId="726000D7" w14:textId="77777777" w:rsidTr="00AE2541">
        <w:trPr>
          <w:trHeight w:hRule="exact" w:val="336"/>
        </w:trPr>
        <w:tc>
          <w:tcPr>
            <w:tcW w:w="4005" w:type="dxa"/>
            <w:shd w:val="clear" w:color="auto" w:fill="auto"/>
            <w:noWrap/>
            <w:vAlign w:val="center"/>
            <w:hideMark/>
          </w:tcPr>
          <w:p w14:paraId="13EE30CA" w14:textId="77777777" w:rsidR="00691911" w:rsidRPr="00B45201" w:rsidRDefault="00691911" w:rsidP="00691911">
            <w:pPr>
              <w:spacing w:after="0" w:line="240" w:lineRule="auto"/>
              <w:rPr>
                <w:rFonts w:asciiTheme="majorHAnsi" w:hAnsiTheme="majorHAnsi" w:cstheme="majorHAnsi"/>
                <w:color w:val="595959"/>
                <w:sz w:val="18"/>
                <w:szCs w:val="18"/>
              </w:rPr>
            </w:pPr>
            <w:r w:rsidRPr="00B45201">
              <w:rPr>
                <w:rFonts w:asciiTheme="majorHAnsi" w:hAnsiTheme="majorHAnsi" w:cstheme="majorHAnsi"/>
                <w:color w:val="595959"/>
                <w:sz w:val="18"/>
                <w:szCs w:val="18"/>
              </w:rPr>
              <w:t>Non-oil value added at constant 2007 prices</w:t>
            </w:r>
          </w:p>
        </w:tc>
        <w:tc>
          <w:tcPr>
            <w:tcW w:w="1260" w:type="dxa"/>
            <w:tcBorders>
              <w:top w:val="nil"/>
              <w:left w:val="nil"/>
              <w:bottom w:val="nil"/>
              <w:right w:val="nil"/>
            </w:tcBorders>
            <w:shd w:val="clear" w:color="auto" w:fill="auto"/>
            <w:vAlign w:val="center"/>
          </w:tcPr>
          <w:p w14:paraId="33D278BF" w14:textId="3F5E6DC3"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Pr>
              <w:t>-1.3</w:t>
            </w:r>
          </w:p>
        </w:tc>
        <w:tc>
          <w:tcPr>
            <w:tcW w:w="1170" w:type="dxa"/>
            <w:tcBorders>
              <w:top w:val="nil"/>
              <w:left w:val="nil"/>
              <w:bottom w:val="nil"/>
              <w:right w:val="nil"/>
            </w:tcBorders>
            <w:shd w:val="clear" w:color="auto" w:fill="auto"/>
            <w:vAlign w:val="center"/>
          </w:tcPr>
          <w:p w14:paraId="2C6EF62E" w14:textId="7FDDE4BA"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1.9</w:t>
            </w:r>
          </w:p>
        </w:tc>
        <w:tc>
          <w:tcPr>
            <w:tcW w:w="1260" w:type="dxa"/>
            <w:tcBorders>
              <w:top w:val="nil"/>
              <w:left w:val="nil"/>
              <w:bottom w:val="nil"/>
              <w:right w:val="nil"/>
            </w:tcBorders>
            <w:shd w:val="clear" w:color="auto" w:fill="auto"/>
            <w:vAlign w:val="center"/>
          </w:tcPr>
          <w:p w14:paraId="37E6FE6E" w14:textId="5E3BF292"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Pr>
              <w:t>-2.8</w:t>
            </w:r>
          </w:p>
        </w:tc>
        <w:tc>
          <w:tcPr>
            <w:tcW w:w="1409" w:type="dxa"/>
            <w:gridSpan w:val="2"/>
            <w:tcBorders>
              <w:top w:val="nil"/>
              <w:left w:val="nil"/>
              <w:bottom w:val="nil"/>
              <w:right w:val="nil"/>
            </w:tcBorders>
            <w:shd w:val="clear" w:color="auto" w:fill="auto"/>
            <w:vAlign w:val="center"/>
          </w:tcPr>
          <w:p w14:paraId="33BB92E2" w14:textId="6BE6949D" w:rsidR="00691911" w:rsidRPr="004B5861" w:rsidRDefault="00691911" w:rsidP="00691911">
            <w:pPr>
              <w:jc w:val="center"/>
              <w:rPr>
                <w:rFonts w:ascii="Tahoma" w:hAnsi="Tahoma" w:cs="Tahoma"/>
                <w:color w:val="595959"/>
                <w:sz w:val="18"/>
                <w:szCs w:val="18"/>
              </w:rPr>
            </w:pPr>
            <w:r>
              <w:rPr>
                <w:rFonts w:ascii="Tahoma" w:hAnsi="Tahoma" w:cs="Tahoma"/>
                <w:color w:val="6D6E71"/>
                <w:sz w:val="20"/>
                <w:szCs w:val="20"/>
                <w:rtl/>
              </w:rPr>
              <w:t>1.2</w:t>
            </w:r>
          </w:p>
        </w:tc>
        <w:tc>
          <w:tcPr>
            <w:tcW w:w="1017" w:type="dxa"/>
            <w:tcBorders>
              <w:top w:val="nil"/>
              <w:left w:val="nil"/>
              <w:bottom w:val="nil"/>
              <w:right w:val="nil"/>
            </w:tcBorders>
            <w:shd w:val="clear" w:color="auto" w:fill="auto"/>
            <w:vAlign w:val="center"/>
          </w:tcPr>
          <w:p w14:paraId="3DFEC889" w14:textId="458C10EE" w:rsidR="00691911" w:rsidRPr="004B5861" w:rsidRDefault="00575397" w:rsidP="00691911">
            <w:pPr>
              <w:jc w:val="center"/>
              <w:rPr>
                <w:rFonts w:ascii="Tahoma" w:hAnsi="Tahoma" w:cs="Tahoma"/>
                <w:color w:val="595959"/>
                <w:sz w:val="18"/>
                <w:szCs w:val="18"/>
                <w:rtl/>
              </w:rPr>
            </w:pPr>
            <w:r>
              <w:rPr>
                <w:rFonts w:ascii="Tahoma" w:hAnsi="Tahoma" w:cs="Tahoma"/>
                <w:color w:val="6D6E71"/>
                <w:sz w:val="20"/>
                <w:szCs w:val="20"/>
              </w:rPr>
              <w:t>-</w:t>
            </w:r>
            <w:r w:rsidR="00691911">
              <w:rPr>
                <w:rFonts w:ascii="Tahoma" w:hAnsi="Tahoma" w:cs="Tahoma"/>
                <w:color w:val="6D6E71"/>
                <w:sz w:val="20"/>
                <w:szCs w:val="20"/>
                <w:rtl/>
              </w:rPr>
              <w:t>1.2</w:t>
            </w:r>
          </w:p>
        </w:tc>
      </w:tr>
      <w:tr w:rsidR="00691911" w:rsidRPr="00B62788" w14:paraId="2304561C" w14:textId="77777777" w:rsidTr="00AE2541">
        <w:trPr>
          <w:trHeight w:hRule="exact" w:val="336"/>
        </w:trPr>
        <w:tc>
          <w:tcPr>
            <w:tcW w:w="4005" w:type="dxa"/>
            <w:tcBorders>
              <w:bottom w:val="single" w:sz="4" w:space="0" w:color="D6A461" w:themeColor="text2"/>
            </w:tcBorders>
            <w:shd w:val="clear" w:color="auto" w:fill="D9D9D9"/>
            <w:noWrap/>
            <w:vAlign w:val="center"/>
            <w:hideMark/>
          </w:tcPr>
          <w:p w14:paraId="680D2679"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GDP at constant 2007 prices</w:t>
            </w:r>
          </w:p>
        </w:tc>
        <w:tc>
          <w:tcPr>
            <w:tcW w:w="1260" w:type="dxa"/>
            <w:tcBorders>
              <w:top w:val="nil"/>
              <w:left w:val="nil"/>
              <w:bottom w:val="single" w:sz="4" w:space="0" w:color="D6A461"/>
              <w:right w:val="nil"/>
            </w:tcBorders>
            <w:shd w:val="clear" w:color="000000" w:fill="D9D9D9"/>
            <w:vAlign w:val="center"/>
          </w:tcPr>
          <w:p w14:paraId="5B89DF39" w14:textId="40E189DC" w:rsidR="00691911" w:rsidRPr="004B5861" w:rsidRDefault="00691911" w:rsidP="00691911">
            <w:pPr>
              <w:bidi/>
              <w:jc w:val="center"/>
              <w:rPr>
                <w:rFonts w:ascii="Tahoma" w:hAnsi="Tahoma" w:cs="Tahoma"/>
                <w:b/>
                <w:bCs/>
                <w:color w:val="595959"/>
                <w:sz w:val="20"/>
                <w:szCs w:val="20"/>
              </w:rPr>
            </w:pPr>
            <w:r>
              <w:rPr>
                <w:rFonts w:ascii="Tahoma" w:hAnsi="Tahoma" w:cs="Tahoma"/>
                <w:b/>
                <w:bCs/>
                <w:color w:val="6D6E71"/>
                <w:sz w:val="20"/>
                <w:szCs w:val="20"/>
                <w:rtl/>
              </w:rPr>
              <w:t>0.0</w:t>
            </w:r>
          </w:p>
        </w:tc>
        <w:tc>
          <w:tcPr>
            <w:tcW w:w="1170" w:type="dxa"/>
            <w:tcBorders>
              <w:top w:val="nil"/>
              <w:left w:val="nil"/>
              <w:bottom w:val="single" w:sz="4" w:space="0" w:color="D6A461"/>
              <w:right w:val="nil"/>
            </w:tcBorders>
            <w:shd w:val="clear" w:color="000000" w:fill="D9D9D9"/>
            <w:vAlign w:val="center"/>
          </w:tcPr>
          <w:p w14:paraId="534583CB" w14:textId="6F9904D5" w:rsidR="00691911" w:rsidRPr="004B5861" w:rsidRDefault="00691911" w:rsidP="00691911">
            <w:pPr>
              <w:bidi/>
              <w:jc w:val="center"/>
              <w:rPr>
                <w:rFonts w:ascii="Tahoma" w:hAnsi="Tahoma" w:cs="Tahoma"/>
                <w:b/>
                <w:bCs/>
                <w:color w:val="595959"/>
                <w:sz w:val="20"/>
                <w:szCs w:val="20"/>
              </w:rPr>
            </w:pPr>
            <w:r>
              <w:rPr>
                <w:rFonts w:ascii="Tahoma" w:hAnsi="Tahoma" w:cs="Tahoma"/>
                <w:b/>
                <w:bCs/>
                <w:color w:val="6D6E71"/>
                <w:sz w:val="20"/>
                <w:szCs w:val="20"/>
                <w:rtl/>
              </w:rPr>
              <w:t>1.7</w:t>
            </w:r>
          </w:p>
        </w:tc>
        <w:tc>
          <w:tcPr>
            <w:tcW w:w="1260" w:type="dxa"/>
            <w:tcBorders>
              <w:top w:val="nil"/>
              <w:left w:val="nil"/>
              <w:bottom w:val="single" w:sz="4" w:space="0" w:color="D6A461"/>
              <w:right w:val="nil"/>
            </w:tcBorders>
            <w:shd w:val="clear" w:color="000000" w:fill="D9D9D9"/>
            <w:vAlign w:val="center"/>
          </w:tcPr>
          <w:p w14:paraId="2CDDE6C7" w14:textId="35A2E927" w:rsidR="00691911" w:rsidRPr="004B5861" w:rsidRDefault="00691911" w:rsidP="00691911">
            <w:pPr>
              <w:bidi/>
              <w:jc w:val="center"/>
              <w:rPr>
                <w:rFonts w:ascii="Tahoma" w:hAnsi="Tahoma" w:cs="Tahoma"/>
                <w:b/>
                <w:bCs/>
                <w:color w:val="595959"/>
                <w:sz w:val="20"/>
                <w:szCs w:val="20"/>
              </w:rPr>
            </w:pPr>
            <w:r>
              <w:rPr>
                <w:rFonts w:ascii="Tahoma" w:hAnsi="Tahoma" w:cs="Tahoma"/>
                <w:b/>
                <w:bCs/>
                <w:color w:val="6D6E71"/>
                <w:sz w:val="20"/>
                <w:szCs w:val="20"/>
              </w:rPr>
              <w:t>-0.3</w:t>
            </w:r>
          </w:p>
        </w:tc>
        <w:tc>
          <w:tcPr>
            <w:tcW w:w="1409" w:type="dxa"/>
            <w:gridSpan w:val="2"/>
            <w:tcBorders>
              <w:top w:val="nil"/>
              <w:left w:val="nil"/>
              <w:bottom w:val="single" w:sz="4" w:space="0" w:color="D6A461"/>
              <w:right w:val="nil"/>
            </w:tcBorders>
            <w:shd w:val="clear" w:color="000000" w:fill="D9D9D9"/>
            <w:vAlign w:val="center"/>
          </w:tcPr>
          <w:p w14:paraId="57EB2693" w14:textId="71C452CD" w:rsidR="00691911" w:rsidRPr="004B5861" w:rsidRDefault="00691911" w:rsidP="00691911">
            <w:pPr>
              <w:bidi/>
              <w:jc w:val="center"/>
              <w:rPr>
                <w:rFonts w:ascii="Tahoma" w:hAnsi="Tahoma" w:cs="Tahoma"/>
                <w:b/>
                <w:bCs/>
                <w:color w:val="595959"/>
                <w:sz w:val="20"/>
                <w:szCs w:val="20"/>
              </w:rPr>
            </w:pPr>
            <w:r>
              <w:rPr>
                <w:rFonts w:ascii="Tahoma" w:hAnsi="Tahoma" w:cs="Tahoma"/>
                <w:b/>
                <w:bCs/>
                <w:color w:val="6D6E71"/>
                <w:sz w:val="20"/>
                <w:szCs w:val="20"/>
                <w:rtl/>
              </w:rPr>
              <w:t>2.2</w:t>
            </w:r>
          </w:p>
        </w:tc>
        <w:tc>
          <w:tcPr>
            <w:tcW w:w="1017" w:type="dxa"/>
            <w:tcBorders>
              <w:top w:val="nil"/>
              <w:left w:val="nil"/>
              <w:bottom w:val="single" w:sz="4" w:space="0" w:color="D6A461"/>
              <w:right w:val="nil"/>
            </w:tcBorders>
            <w:shd w:val="clear" w:color="000000" w:fill="D9D9D9"/>
            <w:vAlign w:val="center"/>
          </w:tcPr>
          <w:p w14:paraId="7333BDC6" w14:textId="671DEC6F" w:rsidR="00691911" w:rsidRPr="00BE0103" w:rsidRDefault="00691911" w:rsidP="00691911">
            <w:pPr>
              <w:bidi/>
              <w:jc w:val="center"/>
              <w:rPr>
                <w:rFonts w:ascii="Tahoma" w:hAnsi="Tahoma" w:cs="Tahoma"/>
                <w:b/>
                <w:bCs/>
                <w:color w:val="595959"/>
                <w:sz w:val="20"/>
                <w:szCs w:val="20"/>
                <w:rtl/>
              </w:rPr>
            </w:pPr>
            <w:r>
              <w:rPr>
                <w:rFonts w:ascii="Tahoma" w:hAnsi="Tahoma" w:cs="Tahoma"/>
                <w:b/>
                <w:bCs/>
                <w:color w:val="6D6E71"/>
                <w:sz w:val="20"/>
                <w:szCs w:val="20"/>
                <w:rtl/>
              </w:rPr>
              <w:t>2.0</w:t>
            </w:r>
          </w:p>
        </w:tc>
      </w:tr>
    </w:tbl>
    <w:p w14:paraId="78682957" w14:textId="77777777" w:rsidR="00E65D8D" w:rsidRPr="00B2550C" w:rsidRDefault="00E65D8D" w:rsidP="00E65D8D">
      <w:pPr>
        <w:autoSpaceDE w:val="0"/>
        <w:autoSpaceDN w:val="0"/>
        <w:adjustRightInd w:val="0"/>
        <w:spacing w:after="0" w:line="240" w:lineRule="auto"/>
        <w:contextualSpacing/>
        <w:rPr>
          <w:rFonts w:ascii="Arial" w:hAnsi="Arial"/>
          <w:color w:val="595959"/>
          <w:sz w:val="20"/>
          <w:szCs w:val="20"/>
        </w:rPr>
      </w:pPr>
    </w:p>
    <w:p w14:paraId="4F06DF26" w14:textId="77777777" w:rsidR="00E65D8D" w:rsidRPr="00757155" w:rsidRDefault="00E65D8D" w:rsidP="00917809">
      <w:pPr>
        <w:pStyle w:val="EcoSourceNote"/>
      </w:pPr>
      <w:r w:rsidRPr="00757155">
        <w:t>Source: Statistics Centre - Abu Dhabi</w:t>
      </w:r>
    </w:p>
    <w:p w14:paraId="55AB880D" w14:textId="77777777" w:rsidR="00E65D8D" w:rsidRPr="00757155" w:rsidRDefault="00E65D8D" w:rsidP="00917809">
      <w:pPr>
        <w:pStyle w:val="EcoTableChartNotes"/>
      </w:pPr>
      <w:r w:rsidRPr="00757155">
        <w:t>*Preliminary estimates</w:t>
      </w:r>
    </w:p>
    <w:p w14:paraId="38CE54CE" w14:textId="77777777" w:rsidR="00117AE3" w:rsidRPr="00B2550C" w:rsidRDefault="00117AE3" w:rsidP="00117AE3">
      <w:pPr>
        <w:autoSpaceDE w:val="0"/>
        <w:autoSpaceDN w:val="0"/>
        <w:adjustRightInd w:val="0"/>
        <w:spacing w:after="0" w:line="240" w:lineRule="auto"/>
        <w:contextualSpacing/>
        <w:rPr>
          <w:rFonts w:ascii="Arial" w:eastAsia="Calibri" w:hAnsi="Arial"/>
          <w:b/>
          <w:bCs/>
          <w:color w:val="595959"/>
          <w:sz w:val="20"/>
          <w:szCs w:val="20"/>
        </w:rPr>
      </w:pPr>
    </w:p>
    <w:p w14:paraId="5E983ABA" w14:textId="7BBD4D78" w:rsidR="00117AE3" w:rsidRPr="00F14F10" w:rsidRDefault="00117AE3" w:rsidP="00E65D8D">
      <w:pPr>
        <w:autoSpaceDE w:val="0"/>
        <w:autoSpaceDN w:val="0"/>
        <w:adjustRightInd w:val="0"/>
        <w:spacing w:after="0"/>
        <w:ind w:hanging="720"/>
        <w:rPr>
          <w:rFonts w:ascii="Arial" w:eastAsia="Calibri" w:hAnsi="Arial"/>
          <w:b/>
          <w:color w:val="595959"/>
        </w:rPr>
      </w:pPr>
      <w:r w:rsidRPr="00E51C62">
        <w:rPr>
          <w:rFonts w:ascii="Arial" w:eastAsia="Calibri" w:hAnsi="Arial"/>
          <w:b/>
          <w:color w:val="D6A461" w:themeColor="text2"/>
        </w:rPr>
        <w:t xml:space="preserve">Table </w:t>
      </w:r>
      <w:r w:rsidR="00E65D8D">
        <w:rPr>
          <w:rFonts w:ascii="Arial" w:eastAsia="Calibri" w:hAnsi="Arial"/>
          <w:b/>
          <w:color w:val="D6A461" w:themeColor="text2"/>
        </w:rPr>
        <w:t>5</w:t>
      </w:r>
      <w:r w:rsidRPr="00E51C62">
        <w:rPr>
          <w:rFonts w:ascii="Arial" w:eastAsia="Calibri" w:hAnsi="Arial"/>
          <w:b/>
          <w:color w:val="D6A461" w:themeColor="text2"/>
        </w:rPr>
        <w:t xml:space="preserve">: </w:t>
      </w:r>
      <w:r w:rsidRPr="00F14F10">
        <w:rPr>
          <w:rFonts w:ascii="Arial" w:eastAsia="Calibri" w:hAnsi="Arial"/>
          <w:b/>
          <w:color w:val="595959"/>
        </w:rPr>
        <w:t>Gross Domestic Product by sectors at current prices</w:t>
      </w:r>
      <w:r w:rsidRPr="00263BBB">
        <w:rPr>
          <w:rFonts w:ascii="Arial" w:eastAsia="Calibri" w:hAnsi="Arial"/>
          <w:b/>
          <w:color w:val="C00000"/>
        </w:rPr>
        <w:t>*</w:t>
      </w:r>
    </w:p>
    <w:p w14:paraId="1111CDE3" w14:textId="77777777" w:rsidR="00117AE3" w:rsidRPr="00B2550C" w:rsidRDefault="00117AE3" w:rsidP="00F13B1C">
      <w:pPr>
        <w:autoSpaceDE w:val="0"/>
        <w:autoSpaceDN w:val="0"/>
        <w:adjustRightInd w:val="0"/>
        <w:spacing w:after="0" w:line="240" w:lineRule="auto"/>
        <w:ind w:hanging="720"/>
        <w:rPr>
          <w:rFonts w:ascii="Arial" w:eastAsia="Calibri" w:hAnsi="Arial"/>
          <w:bCs/>
          <w:color w:val="595959"/>
          <w:sz w:val="20"/>
          <w:szCs w:val="20"/>
        </w:rPr>
      </w:pPr>
      <w:r w:rsidRPr="00B2550C">
        <w:rPr>
          <w:rFonts w:ascii="Arial" w:eastAsia="Calibri" w:hAnsi="Arial"/>
          <w:bCs/>
          <w:color w:val="595959"/>
          <w:sz w:val="20"/>
          <w:szCs w:val="20"/>
        </w:rPr>
        <w:t>Value in million AED</w:t>
      </w:r>
    </w:p>
    <w:tbl>
      <w:tblPr>
        <w:tblW w:w="11026" w:type="dxa"/>
        <w:tblInd w:w="-766" w:type="dxa"/>
        <w:tblLayout w:type="fixed"/>
        <w:tblLook w:val="04A0" w:firstRow="1" w:lastRow="0" w:firstColumn="1" w:lastColumn="0" w:noHBand="0" w:noVBand="1"/>
      </w:tblPr>
      <w:tblGrid>
        <w:gridCol w:w="2386"/>
        <w:gridCol w:w="1080"/>
        <w:gridCol w:w="1080"/>
        <w:gridCol w:w="1080"/>
        <w:gridCol w:w="1080"/>
        <w:gridCol w:w="1080"/>
        <w:gridCol w:w="1080"/>
        <w:gridCol w:w="1080"/>
        <w:gridCol w:w="1080"/>
      </w:tblGrid>
      <w:tr w:rsidR="00691911" w:rsidRPr="00B2550C" w14:paraId="3A1FF6B2" w14:textId="77777777" w:rsidTr="00337C39">
        <w:trPr>
          <w:trHeight w:val="322"/>
        </w:trPr>
        <w:tc>
          <w:tcPr>
            <w:tcW w:w="2386" w:type="dxa"/>
            <w:shd w:val="clear" w:color="auto" w:fill="D6A461" w:themeFill="text2"/>
            <w:noWrap/>
            <w:vAlign w:val="center"/>
            <w:hideMark/>
          </w:tcPr>
          <w:p w14:paraId="7314288C" w14:textId="6A74770D"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Sector</w:t>
            </w:r>
            <w:r>
              <w:rPr>
                <w:rFonts w:ascii="Tahoma" w:hAnsi="Tahoma" w:cs="Tahoma"/>
                <w:b/>
                <w:bCs/>
                <w:color w:val="FFFFFF"/>
                <w:sz w:val="20"/>
                <w:szCs w:val="20"/>
              </w:rPr>
              <w:br/>
              <w:t>Seasonally adjusted</w:t>
            </w:r>
          </w:p>
        </w:tc>
        <w:tc>
          <w:tcPr>
            <w:tcW w:w="1080" w:type="dxa"/>
            <w:shd w:val="clear" w:color="auto" w:fill="D6A461" w:themeFill="text2"/>
            <w:vAlign w:val="center"/>
          </w:tcPr>
          <w:p w14:paraId="67646DB4" w14:textId="5693488D" w:rsidR="00691911" w:rsidRPr="00E65D8D" w:rsidRDefault="00691911" w:rsidP="00691911">
            <w:pPr>
              <w:spacing w:after="0" w:line="240" w:lineRule="auto"/>
              <w:jc w:val="right"/>
              <w:rPr>
                <w:rFonts w:ascii="Arial" w:hAnsi="Arial"/>
                <w:b/>
                <w:bCs/>
                <w:color w:val="FFFFFF"/>
                <w:sz w:val="18"/>
                <w:szCs w:val="18"/>
              </w:rPr>
            </w:pPr>
            <w:r w:rsidRPr="00E65D8D">
              <w:rPr>
                <w:rFonts w:ascii="Tahoma" w:hAnsi="Tahoma" w:cs="Tahoma"/>
                <w:b/>
                <w:bCs/>
                <w:color w:val="FFFFFF"/>
                <w:sz w:val="18"/>
                <w:szCs w:val="18"/>
              </w:rPr>
              <w:t xml:space="preserve">Q2 </w:t>
            </w:r>
            <w:r>
              <w:rPr>
                <w:rFonts w:ascii="Tahoma" w:hAnsi="Tahoma" w:cs="Tahoma"/>
                <w:b/>
                <w:bCs/>
                <w:color w:val="FFFFFF"/>
                <w:sz w:val="18"/>
                <w:szCs w:val="18"/>
              </w:rPr>
              <w:t>2017</w:t>
            </w:r>
          </w:p>
        </w:tc>
        <w:tc>
          <w:tcPr>
            <w:tcW w:w="1080" w:type="dxa"/>
            <w:shd w:val="clear" w:color="auto" w:fill="D6A461" w:themeFill="text2"/>
            <w:vAlign w:val="center"/>
          </w:tcPr>
          <w:p w14:paraId="12D1937F" w14:textId="6EA317EC" w:rsidR="00691911" w:rsidRPr="00E65D8D" w:rsidRDefault="00691911" w:rsidP="00691911">
            <w:pPr>
              <w:spacing w:after="0" w:line="240" w:lineRule="auto"/>
              <w:jc w:val="center"/>
              <w:rPr>
                <w:rFonts w:ascii="Arial" w:hAnsi="Arial"/>
                <w:b/>
                <w:bCs/>
                <w:color w:val="FFFFFF"/>
                <w:sz w:val="18"/>
                <w:szCs w:val="18"/>
              </w:rPr>
            </w:pPr>
            <w:r w:rsidRPr="00E65D8D">
              <w:rPr>
                <w:rFonts w:ascii="Tahoma" w:hAnsi="Tahoma" w:cs="Tahoma"/>
                <w:b/>
                <w:bCs/>
                <w:color w:val="FFFFFF"/>
                <w:sz w:val="18"/>
                <w:szCs w:val="18"/>
              </w:rPr>
              <w:t xml:space="preserve">Q3 </w:t>
            </w:r>
            <w:r>
              <w:rPr>
                <w:rFonts w:ascii="Tahoma" w:hAnsi="Tahoma" w:cs="Tahoma"/>
                <w:b/>
                <w:bCs/>
                <w:color w:val="FFFFFF"/>
                <w:sz w:val="18"/>
                <w:szCs w:val="18"/>
              </w:rPr>
              <w:t>2017</w:t>
            </w:r>
          </w:p>
        </w:tc>
        <w:tc>
          <w:tcPr>
            <w:tcW w:w="1080" w:type="dxa"/>
            <w:shd w:val="clear" w:color="auto" w:fill="D6A461" w:themeFill="text2"/>
            <w:vAlign w:val="center"/>
          </w:tcPr>
          <w:p w14:paraId="0D142158" w14:textId="17A16C0F" w:rsidR="00691911" w:rsidRPr="00E65D8D" w:rsidRDefault="00691911" w:rsidP="00691911">
            <w:pPr>
              <w:spacing w:after="0" w:line="240" w:lineRule="auto"/>
              <w:jc w:val="right"/>
              <w:rPr>
                <w:rFonts w:ascii="Arial" w:hAnsi="Arial"/>
                <w:b/>
                <w:bCs/>
                <w:color w:val="FFFFFF"/>
                <w:sz w:val="18"/>
                <w:szCs w:val="18"/>
              </w:rPr>
            </w:pPr>
            <w:r w:rsidRPr="00E65D8D">
              <w:rPr>
                <w:rFonts w:ascii="Tahoma" w:hAnsi="Tahoma" w:cs="Tahoma"/>
                <w:b/>
                <w:bCs/>
                <w:color w:val="FFFFFF"/>
                <w:sz w:val="18"/>
                <w:szCs w:val="18"/>
              </w:rPr>
              <w:t xml:space="preserve">Q4 </w:t>
            </w:r>
            <w:r>
              <w:rPr>
                <w:rFonts w:ascii="Tahoma" w:hAnsi="Tahoma" w:cs="Tahoma"/>
                <w:b/>
                <w:bCs/>
                <w:color w:val="FFFFFF"/>
                <w:sz w:val="18"/>
                <w:szCs w:val="18"/>
              </w:rPr>
              <w:t>2017</w:t>
            </w:r>
          </w:p>
        </w:tc>
        <w:tc>
          <w:tcPr>
            <w:tcW w:w="1080" w:type="dxa"/>
            <w:shd w:val="clear" w:color="auto" w:fill="D6A461" w:themeFill="text2"/>
            <w:vAlign w:val="center"/>
          </w:tcPr>
          <w:p w14:paraId="584FD4E8" w14:textId="785CE7BE" w:rsidR="00691911" w:rsidRPr="00E65D8D" w:rsidRDefault="00691911" w:rsidP="00691911">
            <w:pPr>
              <w:spacing w:after="0" w:line="240" w:lineRule="auto"/>
              <w:jc w:val="right"/>
              <w:rPr>
                <w:rFonts w:ascii="Arial" w:hAnsi="Arial"/>
                <w:b/>
                <w:bCs/>
                <w:color w:val="FFFFFF"/>
                <w:sz w:val="18"/>
                <w:szCs w:val="18"/>
              </w:rPr>
            </w:pPr>
            <w:r w:rsidRPr="00E65D8D">
              <w:rPr>
                <w:rFonts w:ascii="Tahoma" w:hAnsi="Tahoma" w:cs="Tahoma"/>
                <w:b/>
                <w:bCs/>
                <w:color w:val="FFFFFF"/>
                <w:sz w:val="18"/>
                <w:szCs w:val="18"/>
              </w:rPr>
              <w:t>Q</w:t>
            </w:r>
            <w:r>
              <w:rPr>
                <w:rFonts w:ascii="Tahoma" w:hAnsi="Tahoma" w:cs="Tahoma"/>
                <w:b/>
                <w:bCs/>
                <w:color w:val="FFFFFF"/>
                <w:sz w:val="18"/>
                <w:szCs w:val="18"/>
              </w:rPr>
              <w:t>1</w:t>
            </w:r>
            <w:r w:rsidRPr="00E65D8D">
              <w:rPr>
                <w:rFonts w:ascii="Tahoma" w:hAnsi="Tahoma" w:cs="Tahoma"/>
                <w:b/>
                <w:bCs/>
                <w:color w:val="FFFFFF"/>
                <w:sz w:val="18"/>
                <w:szCs w:val="18"/>
              </w:rPr>
              <w:t xml:space="preserve"> </w:t>
            </w:r>
            <w:r>
              <w:rPr>
                <w:rFonts w:ascii="Tahoma" w:hAnsi="Tahoma" w:cs="Tahoma"/>
                <w:b/>
                <w:bCs/>
                <w:color w:val="FFFFFF"/>
                <w:sz w:val="18"/>
                <w:szCs w:val="18"/>
              </w:rPr>
              <w:t>2018</w:t>
            </w:r>
          </w:p>
        </w:tc>
        <w:tc>
          <w:tcPr>
            <w:tcW w:w="1080" w:type="dxa"/>
            <w:shd w:val="clear" w:color="auto" w:fill="D6A461" w:themeFill="text2"/>
            <w:vAlign w:val="center"/>
          </w:tcPr>
          <w:p w14:paraId="09A79B01" w14:textId="0D93C51F" w:rsidR="00691911" w:rsidRPr="00E65D8D" w:rsidRDefault="00691911" w:rsidP="00691911">
            <w:pPr>
              <w:spacing w:after="0" w:line="240" w:lineRule="auto"/>
              <w:jc w:val="right"/>
              <w:rPr>
                <w:rFonts w:ascii="Arial" w:hAnsi="Arial"/>
                <w:b/>
                <w:bCs/>
                <w:color w:val="FFFFFF"/>
                <w:sz w:val="18"/>
                <w:szCs w:val="18"/>
              </w:rPr>
            </w:pPr>
            <w:r w:rsidRPr="00E65D8D">
              <w:rPr>
                <w:rFonts w:ascii="Tahoma" w:hAnsi="Tahoma" w:cs="Tahoma"/>
                <w:b/>
                <w:bCs/>
                <w:color w:val="FFFFFF"/>
                <w:sz w:val="18"/>
                <w:szCs w:val="18"/>
              </w:rPr>
              <w:t>Q</w:t>
            </w:r>
            <w:r>
              <w:rPr>
                <w:rFonts w:ascii="Tahoma" w:hAnsi="Tahoma" w:cs="Tahoma"/>
                <w:b/>
                <w:bCs/>
                <w:color w:val="FFFFFF"/>
                <w:sz w:val="18"/>
                <w:szCs w:val="18"/>
              </w:rPr>
              <w:t>2</w:t>
            </w:r>
            <w:r w:rsidRPr="00E65D8D">
              <w:rPr>
                <w:rFonts w:ascii="Tahoma" w:hAnsi="Tahoma" w:cs="Tahoma"/>
                <w:b/>
                <w:bCs/>
                <w:color w:val="FFFFFF"/>
                <w:sz w:val="18"/>
                <w:szCs w:val="18"/>
              </w:rPr>
              <w:t xml:space="preserve"> </w:t>
            </w:r>
            <w:r>
              <w:rPr>
                <w:rFonts w:ascii="Tahoma" w:hAnsi="Tahoma" w:cs="Tahoma"/>
                <w:b/>
                <w:bCs/>
                <w:color w:val="FFFFFF"/>
                <w:sz w:val="18"/>
                <w:szCs w:val="18"/>
              </w:rPr>
              <w:t>2018</w:t>
            </w:r>
          </w:p>
        </w:tc>
        <w:tc>
          <w:tcPr>
            <w:tcW w:w="1080" w:type="dxa"/>
            <w:shd w:val="clear" w:color="auto" w:fill="D6A461" w:themeFill="text2"/>
            <w:vAlign w:val="center"/>
          </w:tcPr>
          <w:p w14:paraId="7DF23D37" w14:textId="3DD7C209" w:rsidR="00691911" w:rsidRPr="00E65D8D" w:rsidRDefault="00691911" w:rsidP="00691911">
            <w:pPr>
              <w:spacing w:after="0" w:line="240" w:lineRule="auto"/>
              <w:jc w:val="right"/>
              <w:rPr>
                <w:rFonts w:ascii="Arial" w:hAnsi="Arial"/>
                <w:b/>
                <w:bCs/>
                <w:color w:val="FFFFFF"/>
                <w:sz w:val="18"/>
                <w:szCs w:val="18"/>
              </w:rPr>
            </w:pPr>
            <w:r w:rsidRPr="00E65D8D">
              <w:rPr>
                <w:rFonts w:ascii="Tahoma" w:hAnsi="Tahoma" w:cs="Tahoma"/>
                <w:b/>
                <w:bCs/>
                <w:color w:val="FFFFFF"/>
                <w:sz w:val="18"/>
                <w:szCs w:val="18"/>
              </w:rPr>
              <w:t>Q</w:t>
            </w:r>
            <w:r>
              <w:rPr>
                <w:rFonts w:ascii="Tahoma" w:hAnsi="Tahoma" w:cs="Tahoma"/>
                <w:b/>
                <w:bCs/>
                <w:color w:val="FFFFFF"/>
                <w:sz w:val="18"/>
                <w:szCs w:val="18"/>
              </w:rPr>
              <w:t>3</w:t>
            </w:r>
            <w:r w:rsidRPr="00E65D8D">
              <w:rPr>
                <w:rFonts w:ascii="Tahoma" w:hAnsi="Tahoma" w:cs="Tahoma"/>
                <w:b/>
                <w:bCs/>
                <w:color w:val="FFFFFF"/>
                <w:sz w:val="18"/>
                <w:szCs w:val="18"/>
              </w:rPr>
              <w:t xml:space="preserve"> </w:t>
            </w:r>
            <w:r>
              <w:rPr>
                <w:rFonts w:ascii="Tahoma" w:hAnsi="Tahoma" w:cs="Tahoma"/>
                <w:b/>
                <w:bCs/>
                <w:color w:val="FFFFFF"/>
                <w:sz w:val="18"/>
                <w:szCs w:val="18"/>
              </w:rPr>
              <w:t>2018</w:t>
            </w:r>
          </w:p>
        </w:tc>
        <w:tc>
          <w:tcPr>
            <w:tcW w:w="1080" w:type="dxa"/>
            <w:shd w:val="clear" w:color="auto" w:fill="D6A461" w:themeFill="text2"/>
            <w:vAlign w:val="center"/>
          </w:tcPr>
          <w:p w14:paraId="51236E9A" w14:textId="1E987D70" w:rsidR="00691911" w:rsidRPr="00E65D8D" w:rsidRDefault="00691911" w:rsidP="00691911">
            <w:pPr>
              <w:spacing w:after="0" w:line="240" w:lineRule="auto"/>
              <w:jc w:val="right"/>
              <w:rPr>
                <w:rFonts w:ascii="Arial" w:hAnsi="Arial"/>
                <w:b/>
                <w:bCs/>
                <w:color w:val="FFFFFF"/>
                <w:sz w:val="18"/>
                <w:szCs w:val="18"/>
              </w:rPr>
            </w:pPr>
            <w:r w:rsidRPr="00E65D8D">
              <w:rPr>
                <w:rFonts w:ascii="Tahoma" w:hAnsi="Tahoma" w:cs="Tahoma"/>
                <w:b/>
                <w:bCs/>
                <w:color w:val="FFFFFF"/>
                <w:sz w:val="18"/>
                <w:szCs w:val="18"/>
              </w:rPr>
              <w:t>Q</w:t>
            </w:r>
            <w:r>
              <w:rPr>
                <w:rFonts w:ascii="Tahoma" w:hAnsi="Tahoma" w:cs="Tahoma" w:hint="cs"/>
                <w:b/>
                <w:bCs/>
                <w:color w:val="FFFFFF"/>
                <w:sz w:val="18"/>
                <w:szCs w:val="18"/>
                <w:rtl/>
              </w:rPr>
              <w:t>4</w:t>
            </w:r>
            <w:r w:rsidRPr="00E65D8D">
              <w:rPr>
                <w:rFonts w:ascii="Tahoma" w:hAnsi="Tahoma" w:cs="Tahoma"/>
                <w:b/>
                <w:bCs/>
                <w:color w:val="FFFFFF"/>
                <w:sz w:val="18"/>
                <w:szCs w:val="18"/>
              </w:rPr>
              <w:t xml:space="preserve"> </w:t>
            </w:r>
            <w:r>
              <w:rPr>
                <w:rFonts w:ascii="Tahoma" w:hAnsi="Tahoma" w:cs="Tahoma"/>
                <w:b/>
                <w:bCs/>
                <w:color w:val="FFFFFF"/>
                <w:sz w:val="18"/>
                <w:szCs w:val="18"/>
              </w:rPr>
              <w:t>2018</w:t>
            </w:r>
          </w:p>
        </w:tc>
        <w:tc>
          <w:tcPr>
            <w:tcW w:w="1080" w:type="dxa"/>
            <w:shd w:val="clear" w:color="auto" w:fill="D6A461" w:themeFill="text2"/>
            <w:vAlign w:val="center"/>
          </w:tcPr>
          <w:p w14:paraId="5756DB17" w14:textId="7C45077A" w:rsidR="00691911" w:rsidRPr="00E65D8D" w:rsidRDefault="00691911" w:rsidP="00691911">
            <w:pPr>
              <w:spacing w:after="0" w:line="240" w:lineRule="auto"/>
              <w:jc w:val="right"/>
              <w:rPr>
                <w:rFonts w:ascii="Arial" w:hAnsi="Arial"/>
                <w:b/>
                <w:bCs/>
                <w:color w:val="FFFFFF"/>
                <w:sz w:val="18"/>
                <w:szCs w:val="18"/>
              </w:rPr>
            </w:pPr>
            <w:r w:rsidRPr="00E65D8D">
              <w:rPr>
                <w:rFonts w:ascii="Tahoma" w:hAnsi="Tahoma" w:cs="Tahoma"/>
                <w:b/>
                <w:bCs/>
                <w:color w:val="FFFFFF"/>
                <w:sz w:val="18"/>
                <w:szCs w:val="18"/>
              </w:rPr>
              <w:t>Q</w:t>
            </w:r>
            <w:r>
              <w:rPr>
                <w:rFonts w:ascii="Tahoma" w:hAnsi="Tahoma" w:cs="Tahoma"/>
                <w:b/>
                <w:bCs/>
                <w:color w:val="FFFFFF"/>
                <w:sz w:val="18"/>
                <w:szCs w:val="18"/>
              </w:rPr>
              <w:t>1</w:t>
            </w:r>
            <w:r w:rsidRPr="00E65D8D">
              <w:rPr>
                <w:rFonts w:ascii="Tahoma" w:hAnsi="Tahoma" w:cs="Tahoma"/>
                <w:b/>
                <w:bCs/>
                <w:color w:val="FFFFFF"/>
                <w:sz w:val="18"/>
                <w:szCs w:val="18"/>
              </w:rPr>
              <w:t xml:space="preserve"> </w:t>
            </w:r>
            <w:r>
              <w:rPr>
                <w:rFonts w:ascii="Tahoma" w:hAnsi="Tahoma" w:cs="Tahoma"/>
                <w:b/>
                <w:bCs/>
                <w:color w:val="FFFFFF"/>
                <w:sz w:val="18"/>
                <w:szCs w:val="18"/>
              </w:rPr>
              <w:t>2019</w:t>
            </w:r>
          </w:p>
        </w:tc>
      </w:tr>
      <w:tr w:rsidR="00691911" w:rsidRPr="00B2550C" w14:paraId="0711419A" w14:textId="77777777" w:rsidTr="00A01BFE">
        <w:trPr>
          <w:trHeight w:val="306"/>
        </w:trPr>
        <w:tc>
          <w:tcPr>
            <w:tcW w:w="2386" w:type="dxa"/>
            <w:shd w:val="clear" w:color="auto" w:fill="auto"/>
            <w:noWrap/>
            <w:vAlign w:val="center"/>
            <w:hideMark/>
          </w:tcPr>
          <w:p w14:paraId="7747CF5F" w14:textId="5B70A746" w:rsidR="00691911" w:rsidRPr="0016203F" w:rsidRDefault="00691911" w:rsidP="00691911">
            <w:pPr>
              <w:rPr>
                <w:rFonts w:ascii="Tahoma" w:hAnsi="Tahoma" w:cs="Tahoma"/>
                <w:color w:val="595959"/>
                <w:sz w:val="20"/>
                <w:szCs w:val="20"/>
              </w:rPr>
            </w:pPr>
            <w:r w:rsidRPr="0016203F">
              <w:rPr>
                <w:rFonts w:ascii="Tahoma" w:hAnsi="Tahoma" w:cs="Tahoma"/>
                <w:color w:val="595959"/>
                <w:sz w:val="20"/>
                <w:szCs w:val="20"/>
              </w:rPr>
              <w:t xml:space="preserve">Non-financial </w:t>
            </w:r>
          </w:p>
        </w:tc>
        <w:tc>
          <w:tcPr>
            <w:tcW w:w="1080" w:type="dxa"/>
            <w:tcBorders>
              <w:top w:val="nil"/>
              <w:left w:val="nil"/>
              <w:bottom w:val="nil"/>
              <w:right w:val="nil"/>
            </w:tcBorders>
            <w:shd w:val="clear" w:color="auto" w:fill="auto"/>
            <w:vAlign w:val="center"/>
          </w:tcPr>
          <w:p w14:paraId="18EB5F02" w14:textId="328A8A0D"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161,941</w:t>
            </w:r>
          </w:p>
        </w:tc>
        <w:tc>
          <w:tcPr>
            <w:tcW w:w="1080" w:type="dxa"/>
            <w:tcBorders>
              <w:top w:val="nil"/>
              <w:left w:val="nil"/>
              <w:bottom w:val="nil"/>
              <w:right w:val="nil"/>
            </w:tcBorders>
            <w:shd w:val="clear" w:color="auto" w:fill="auto"/>
            <w:vAlign w:val="center"/>
          </w:tcPr>
          <w:p w14:paraId="18A88DFF" w14:textId="0D19EB82"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166,295</w:t>
            </w:r>
          </w:p>
        </w:tc>
        <w:tc>
          <w:tcPr>
            <w:tcW w:w="1080" w:type="dxa"/>
            <w:tcBorders>
              <w:top w:val="nil"/>
              <w:left w:val="nil"/>
              <w:bottom w:val="nil"/>
              <w:right w:val="nil"/>
            </w:tcBorders>
            <w:shd w:val="clear" w:color="auto" w:fill="auto"/>
            <w:vAlign w:val="center"/>
          </w:tcPr>
          <w:p w14:paraId="155C20F1" w14:textId="7CD2CC14"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178,628</w:t>
            </w:r>
          </w:p>
        </w:tc>
        <w:tc>
          <w:tcPr>
            <w:tcW w:w="1080" w:type="dxa"/>
            <w:tcBorders>
              <w:top w:val="nil"/>
              <w:left w:val="nil"/>
              <w:bottom w:val="nil"/>
              <w:right w:val="nil"/>
            </w:tcBorders>
            <w:shd w:val="clear" w:color="auto" w:fill="auto"/>
            <w:vAlign w:val="center"/>
          </w:tcPr>
          <w:p w14:paraId="0A6884F6" w14:textId="23E1339F"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182,285</w:t>
            </w:r>
          </w:p>
        </w:tc>
        <w:tc>
          <w:tcPr>
            <w:tcW w:w="1080" w:type="dxa"/>
            <w:tcBorders>
              <w:top w:val="nil"/>
              <w:left w:val="nil"/>
              <w:bottom w:val="nil"/>
              <w:right w:val="nil"/>
            </w:tcBorders>
            <w:shd w:val="clear" w:color="auto" w:fill="auto"/>
            <w:vAlign w:val="center"/>
          </w:tcPr>
          <w:p w14:paraId="66C188D0" w14:textId="61C58A56"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193,022</w:t>
            </w:r>
          </w:p>
        </w:tc>
        <w:tc>
          <w:tcPr>
            <w:tcW w:w="1080" w:type="dxa"/>
            <w:tcBorders>
              <w:top w:val="nil"/>
              <w:left w:val="nil"/>
              <w:bottom w:val="nil"/>
              <w:right w:val="nil"/>
            </w:tcBorders>
            <w:shd w:val="clear" w:color="auto" w:fill="auto"/>
            <w:vAlign w:val="center"/>
          </w:tcPr>
          <w:p w14:paraId="29AA7D4A" w14:textId="57674F4F"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202,285</w:t>
            </w:r>
          </w:p>
        </w:tc>
        <w:tc>
          <w:tcPr>
            <w:tcW w:w="1080" w:type="dxa"/>
            <w:tcBorders>
              <w:top w:val="nil"/>
              <w:left w:val="nil"/>
              <w:bottom w:val="nil"/>
              <w:right w:val="nil"/>
            </w:tcBorders>
            <w:shd w:val="clear" w:color="auto" w:fill="auto"/>
            <w:vAlign w:val="center"/>
          </w:tcPr>
          <w:p w14:paraId="0C953EAD" w14:textId="72DA801D"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204,213</w:t>
            </w:r>
          </w:p>
        </w:tc>
        <w:tc>
          <w:tcPr>
            <w:tcW w:w="1080" w:type="dxa"/>
            <w:tcBorders>
              <w:top w:val="nil"/>
              <w:left w:val="nil"/>
              <w:bottom w:val="nil"/>
              <w:right w:val="nil"/>
            </w:tcBorders>
            <w:shd w:val="clear" w:color="auto" w:fill="auto"/>
            <w:vAlign w:val="center"/>
          </w:tcPr>
          <w:p w14:paraId="54922E91" w14:textId="69D013F4"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188,705</w:t>
            </w:r>
          </w:p>
        </w:tc>
      </w:tr>
      <w:tr w:rsidR="00691911" w:rsidRPr="00B2550C" w14:paraId="0DF7C740" w14:textId="77777777" w:rsidTr="00A01BFE">
        <w:trPr>
          <w:trHeight w:val="370"/>
        </w:trPr>
        <w:tc>
          <w:tcPr>
            <w:tcW w:w="2386" w:type="dxa"/>
            <w:shd w:val="clear" w:color="auto" w:fill="auto"/>
            <w:noWrap/>
            <w:vAlign w:val="center"/>
            <w:hideMark/>
          </w:tcPr>
          <w:p w14:paraId="3C0E6B04" w14:textId="41F04A8D" w:rsidR="00691911" w:rsidRPr="0016203F" w:rsidRDefault="00691911" w:rsidP="00691911">
            <w:pPr>
              <w:rPr>
                <w:rFonts w:ascii="Tahoma" w:hAnsi="Tahoma" w:cs="Tahoma"/>
                <w:color w:val="595959"/>
                <w:sz w:val="20"/>
                <w:szCs w:val="20"/>
              </w:rPr>
            </w:pPr>
            <w:r w:rsidRPr="0016203F">
              <w:rPr>
                <w:rFonts w:ascii="Tahoma" w:hAnsi="Tahoma" w:cs="Tahoma"/>
                <w:color w:val="595959"/>
                <w:sz w:val="20"/>
                <w:szCs w:val="20"/>
              </w:rPr>
              <w:t>Financial companies</w:t>
            </w:r>
          </w:p>
        </w:tc>
        <w:tc>
          <w:tcPr>
            <w:tcW w:w="1080" w:type="dxa"/>
            <w:tcBorders>
              <w:top w:val="nil"/>
              <w:left w:val="nil"/>
              <w:bottom w:val="nil"/>
              <w:right w:val="nil"/>
            </w:tcBorders>
            <w:shd w:val="clear" w:color="auto" w:fill="auto"/>
            <w:vAlign w:val="center"/>
          </w:tcPr>
          <w:p w14:paraId="102C4987" w14:textId="7FFC6EC5"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18,406</w:t>
            </w:r>
          </w:p>
        </w:tc>
        <w:tc>
          <w:tcPr>
            <w:tcW w:w="1080" w:type="dxa"/>
            <w:tcBorders>
              <w:top w:val="nil"/>
              <w:left w:val="nil"/>
              <w:bottom w:val="nil"/>
              <w:right w:val="nil"/>
            </w:tcBorders>
            <w:shd w:val="clear" w:color="auto" w:fill="auto"/>
            <w:vAlign w:val="center"/>
          </w:tcPr>
          <w:p w14:paraId="0E0D880D" w14:textId="32730C64"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18,684</w:t>
            </w:r>
          </w:p>
        </w:tc>
        <w:tc>
          <w:tcPr>
            <w:tcW w:w="1080" w:type="dxa"/>
            <w:tcBorders>
              <w:top w:val="nil"/>
              <w:left w:val="nil"/>
              <w:bottom w:val="nil"/>
              <w:right w:val="nil"/>
            </w:tcBorders>
            <w:shd w:val="clear" w:color="auto" w:fill="auto"/>
            <w:vAlign w:val="center"/>
          </w:tcPr>
          <w:p w14:paraId="3829238E" w14:textId="144A22A2"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18,912</w:t>
            </w:r>
          </w:p>
        </w:tc>
        <w:tc>
          <w:tcPr>
            <w:tcW w:w="1080" w:type="dxa"/>
            <w:tcBorders>
              <w:top w:val="nil"/>
              <w:left w:val="nil"/>
              <w:bottom w:val="nil"/>
              <w:right w:val="nil"/>
            </w:tcBorders>
            <w:shd w:val="clear" w:color="auto" w:fill="auto"/>
            <w:vAlign w:val="center"/>
          </w:tcPr>
          <w:p w14:paraId="1D45C758" w14:textId="000C33FE"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19,061</w:t>
            </w:r>
          </w:p>
        </w:tc>
        <w:tc>
          <w:tcPr>
            <w:tcW w:w="1080" w:type="dxa"/>
            <w:tcBorders>
              <w:top w:val="nil"/>
              <w:left w:val="nil"/>
              <w:bottom w:val="nil"/>
              <w:right w:val="nil"/>
            </w:tcBorders>
            <w:shd w:val="clear" w:color="auto" w:fill="auto"/>
            <w:vAlign w:val="center"/>
          </w:tcPr>
          <w:p w14:paraId="18FD3CC2" w14:textId="1B2C976E"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20,952</w:t>
            </w:r>
          </w:p>
        </w:tc>
        <w:tc>
          <w:tcPr>
            <w:tcW w:w="1080" w:type="dxa"/>
            <w:tcBorders>
              <w:top w:val="nil"/>
              <w:left w:val="nil"/>
              <w:bottom w:val="nil"/>
              <w:right w:val="nil"/>
            </w:tcBorders>
            <w:shd w:val="clear" w:color="auto" w:fill="auto"/>
            <w:vAlign w:val="center"/>
          </w:tcPr>
          <w:p w14:paraId="4610A462" w14:textId="35BBEA83"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17,288</w:t>
            </w:r>
          </w:p>
        </w:tc>
        <w:tc>
          <w:tcPr>
            <w:tcW w:w="1080" w:type="dxa"/>
            <w:tcBorders>
              <w:top w:val="nil"/>
              <w:left w:val="nil"/>
              <w:bottom w:val="nil"/>
              <w:right w:val="nil"/>
            </w:tcBorders>
            <w:shd w:val="clear" w:color="auto" w:fill="auto"/>
            <w:vAlign w:val="center"/>
          </w:tcPr>
          <w:p w14:paraId="077F2F81" w14:textId="4B6A2BC5"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20,620</w:t>
            </w:r>
          </w:p>
        </w:tc>
        <w:tc>
          <w:tcPr>
            <w:tcW w:w="1080" w:type="dxa"/>
            <w:tcBorders>
              <w:top w:val="nil"/>
              <w:left w:val="nil"/>
              <w:bottom w:val="nil"/>
              <w:right w:val="nil"/>
            </w:tcBorders>
            <w:shd w:val="clear" w:color="auto" w:fill="auto"/>
            <w:vAlign w:val="center"/>
          </w:tcPr>
          <w:p w14:paraId="354E0A8E" w14:textId="34BE249E"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19,231</w:t>
            </w:r>
          </w:p>
        </w:tc>
      </w:tr>
      <w:tr w:rsidR="00691911" w:rsidRPr="00B2550C" w14:paraId="08B5A4DC" w14:textId="77777777" w:rsidTr="00A01BFE">
        <w:trPr>
          <w:trHeight w:val="302"/>
        </w:trPr>
        <w:tc>
          <w:tcPr>
            <w:tcW w:w="2386" w:type="dxa"/>
            <w:shd w:val="clear" w:color="auto" w:fill="auto"/>
            <w:noWrap/>
            <w:vAlign w:val="center"/>
            <w:hideMark/>
          </w:tcPr>
          <w:p w14:paraId="75A397AC" w14:textId="0B7902FE" w:rsidR="00691911" w:rsidRPr="0016203F" w:rsidRDefault="00691911" w:rsidP="00691911">
            <w:pPr>
              <w:rPr>
                <w:rFonts w:ascii="Tahoma" w:hAnsi="Tahoma" w:cs="Tahoma"/>
                <w:color w:val="595959"/>
                <w:sz w:val="20"/>
                <w:szCs w:val="20"/>
              </w:rPr>
            </w:pPr>
            <w:r w:rsidRPr="0016203F">
              <w:rPr>
                <w:rFonts w:ascii="Tahoma" w:hAnsi="Tahoma" w:cs="Tahoma"/>
                <w:color w:val="595959"/>
                <w:sz w:val="20"/>
                <w:szCs w:val="20"/>
              </w:rPr>
              <w:t>General government</w:t>
            </w:r>
          </w:p>
        </w:tc>
        <w:tc>
          <w:tcPr>
            <w:tcW w:w="1080" w:type="dxa"/>
            <w:tcBorders>
              <w:top w:val="nil"/>
              <w:left w:val="nil"/>
              <w:bottom w:val="nil"/>
              <w:right w:val="nil"/>
            </w:tcBorders>
            <w:shd w:val="clear" w:color="auto" w:fill="auto"/>
            <w:vAlign w:val="center"/>
          </w:tcPr>
          <w:p w14:paraId="1FFE8EE2" w14:textId="7081EFC7"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15,108</w:t>
            </w:r>
          </w:p>
        </w:tc>
        <w:tc>
          <w:tcPr>
            <w:tcW w:w="1080" w:type="dxa"/>
            <w:tcBorders>
              <w:top w:val="nil"/>
              <w:left w:val="nil"/>
              <w:bottom w:val="nil"/>
              <w:right w:val="nil"/>
            </w:tcBorders>
            <w:shd w:val="clear" w:color="auto" w:fill="auto"/>
            <w:vAlign w:val="center"/>
          </w:tcPr>
          <w:p w14:paraId="03BC2F13" w14:textId="68DED00E"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15,136</w:t>
            </w:r>
          </w:p>
        </w:tc>
        <w:tc>
          <w:tcPr>
            <w:tcW w:w="1080" w:type="dxa"/>
            <w:tcBorders>
              <w:top w:val="nil"/>
              <w:left w:val="nil"/>
              <w:bottom w:val="nil"/>
              <w:right w:val="nil"/>
            </w:tcBorders>
            <w:shd w:val="clear" w:color="auto" w:fill="auto"/>
            <w:vAlign w:val="center"/>
          </w:tcPr>
          <w:p w14:paraId="65669D81" w14:textId="30BA90DD"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16,219</w:t>
            </w:r>
          </w:p>
        </w:tc>
        <w:tc>
          <w:tcPr>
            <w:tcW w:w="1080" w:type="dxa"/>
            <w:tcBorders>
              <w:top w:val="nil"/>
              <w:left w:val="nil"/>
              <w:bottom w:val="nil"/>
              <w:right w:val="nil"/>
            </w:tcBorders>
            <w:shd w:val="clear" w:color="auto" w:fill="auto"/>
            <w:vAlign w:val="center"/>
          </w:tcPr>
          <w:p w14:paraId="2CB54125" w14:textId="386ED2B1"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16,102</w:t>
            </w:r>
          </w:p>
        </w:tc>
        <w:tc>
          <w:tcPr>
            <w:tcW w:w="1080" w:type="dxa"/>
            <w:tcBorders>
              <w:top w:val="nil"/>
              <w:left w:val="nil"/>
              <w:bottom w:val="nil"/>
              <w:right w:val="nil"/>
            </w:tcBorders>
            <w:shd w:val="clear" w:color="auto" w:fill="auto"/>
            <w:vAlign w:val="center"/>
          </w:tcPr>
          <w:p w14:paraId="4090F5C5" w14:textId="1CE9BB71"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16,193</w:t>
            </w:r>
          </w:p>
        </w:tc>
        <w:tc>
          <w:tcPr>
            <w:tcW w:w="1080" w:type="dxa"/>
            <w:tcBorders>
              <w:top w:val="nil"/>
              <w:left w:val="nil"/>
              <w:bottom w:val="nil"/>
              <w:right w:val="nil"/>
            </w:tcBorders>
            <w:shd w:val="clear" w:color="auto" w:fill="auto"/>
            <w:vAlign w:val="center"/>
          </w:tcPr>
          <w:p w14:paraId="14314B6E" w14:textId="26B3E97A"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16,448</w:t>
            </w:r>
          </w:p>
        </w:tc>
        <w:tc>
          <w:tcPr>
            <w:tcW w:w="1080" w:type="dxa"/>
            <w:tcBorders>
              <w:top w:val="nil"/>
              <w:left w:val="nil"/>
              <w:bottom w:val="nil"/>
              <w:right w:val="nil"/>
            </w:tcBorders>
            <w:shd w:val="clear" w:color="auto" w:fill="auto"/>
            <w:vAlign w:val="center"/>
          </w:tcPr>
          <w:p w14:paraId="42276BAA" w14:textId="213F66DF"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16,519</w:t>
            </w:r>
          </w:p>
        </w:tc>
        <w:tc>
          <w:tcPr>
            <w:tcW w:w="1080" w:type="dxa"/>
            <w:tcBorders>
              <w:top w:val="nil"/>
              <w:left w:val="nil"/>
              <w:bottom w:val="nil"/>
              <w:right w:val="nil"/>
            </w:tcBorders>
            <w:shd w:val="clear" w:color="auto" w:fill="auto"/>
            <w:vAlign w:val="center"/>
          </w:tcPr>
          <w:p w14:paraId="7D5A3524" w14:textId="0A237AC0"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16,519</w:t>
            </w:r>
          </w:p>
        </w:tc>
      </w:tr>
      <w:tr w:rsidR="00691911" w:rsidRPr="00B2550C" w14:paraId="1E872A47" w14:textId="77777777" w:rsidTr="00A01BFE">
        <w:trPr>
          <w:trHeight w:val="322"/>
        </w:trPr>
        <w:tc>
          <w:tcPr>
            <w:tcW w:w="2386" w:type="dxa"/>
            <w:shd w:val="clear" w:color="auto" w:fill="auto"/>
            <w:noWrap/>
            <w:vAlign w:val="center"/>
            <w:hideMark/>
          </w:tcPr>
          <w:p w14:paraId="3B824C49" w14:textId="48191E1F" w:rsidR="00691911" w:rsidRPr="0016203F" w:rsidRDefault="00691911" w:rsidP="00691911">
            <w:pPr>
              <w:rPr>
                <w:rFonts w:ascii="Tahoma" w:hAnsi="Tahoma" w:cs="Tahoma"/>
                <w:color w:val="595959"/>
                <w:sz w:val="20"/>
                <w:szCs w:val="20"/>
              </w:rPr>
            </w:pPr>
            <w:r w:rsidRPr="0016203F">
              <w:rPr>
                <w:rFonts w:ascii="Tahoma" w:hAnsi="Tahoma" w:cs="Tahoma"/>
                <w:color w:val="595959"/>
                <w:sz w:val="20"/>
                <w:szCs w:val="20"/>
              </w:rPr>
              <w:t>Households</w:t>
            </w:r>
          </w:p>
        </w:tc>
        <w:tc>
          <w:tcPr>
            <w:tcW w:w="1080" w:type="dxa"/>
            <w:tcBorders>
              <w:top w:val="nil"/>
              <w:left w:val="nil"/>
              <w:bottom w:val="nil"/>
              <w:right w:val="nil"/>
            </w:tcBorders>
            <w:shd w:val="clear" w:color="auto" w:fill="auto"/>
            <w:vAlign w:val="center"/>
          </w:tcPr>
          <w:p w14:paraId="10B5677C" w14:textId="58AB4F16"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1,378</w:t>
            </w:r>
          </w:p>
        </w:tc>
        <w:tc>
          <w:tcPr>
            <w:tcW w:w="1080" w:type="dxa"/>
            <w:tcBorders>
              <w:top w:val="nil"/>
              <w:left w:val="nil"/>
              <w:bottom w:val="nil"/>
              <w:right w:val="nil"/>
            </w:tcBorders>
            <w:shd w:val="clear" w:color="auto" w:fill="auto"/>
            <w:vAlign w:val="center"/>
          </w:tcPr>
          <w:p w14:paraId="1A4FC728" w14:textId="60A3BACC"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1,408</w:t>
            </w:r>
          </w:p>
        </w:tc>
        <w:tc>
          <w:tcPr>
            <w:tcW w:w="1080" w:type="dxa"/>
            <w:tcBorders>
              <w:top w:val="nil"/>
              <w:left w:val="nil"/>
              <w:bottom w:val="nil"/>
              <w:right w:val="nil"/>
            </w:tcBorders>
            <w:shd w:val="clear" w:color="auto" w:fill="auto"/>
            <w:vAlign w:val="center"/>
          </w:tcPr>
          <w:p w14:paraId="01980B79" w14:textId="73C378EB"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1,437</w:t>
            </w:r>
          </w:p>
        </w:tc>
        <w:tc>
          <w:tcPr>
            <w:tcW w:w="1080" w:type="dxa"/>
            <w:tcBorders>
              <w:top w:val="nil"/>
              <w:left w:val="nil"/>
              <w:bottom w:val="nil"/>
              <w:right w:val="nil"/>
            </w:tcBorders>
            <w:shd w:val="clear" w:color="auto" w:fill="auto"/>
            <w:vAlign w:val="center"/>
          </w:tcPr>
          <w:p w14:paraId="40FCCE70" w14:textId="5FDF2C5A"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1,470</w:t>
            </w:r>
          </w:p>
        </w:tc>
        <w:tc>
          <w:tcPr>
            <w:tcW w:w="1080" w:type="dxa"/>
            <w:tcBorders>
              <w:top w:val="nil"/>
              <w:left w:val="nil"/>
              <w:bottom w:val="nil"/>
              <w:right w:val="nil"/>
            </w:tcBorders>
            <w:shd w:val="clear" w:color="auto" w:fill="auto"/>
            <w:vAlign w:val="center"/>
          </w:tcPr>
          <w:p w14:paraId="3D888258" w14:textId="3CCFA50D"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1,498</w:t>
            </w:r>
          </w:p>
        </w:tc>
        <w:tc>
          <w:tcPr>
            <w:tcW w:w="1080" w:type="dxa"/>
            <w:tcBorders>
              <w:top w:val="nil"/>
              <w:left w:val="nil"/>
              <w:bottom w:val="nil"/>
              <w:right w:val="nil"/>
            </w:tcBorders>
            <w:shd w:val="clear" w:color="auto" w:fill="auto"/>
            <w:vAlign w:val="center"/>
          </w:tcPr>
          <w:p w14:paraId="38FD3F3D" w14:textId="472B7FED"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1,525</w:t>
            </w:r>
          </w:p>
        </w:tc>
        <w:tc>
          <w:tcPr>
            <w:tcW w:w="1080" w:type="dxa"/>
            <w:tcBorders>
              <w:top w:val="nil"/>
              <w:left w:val="nil"/>
              <w:bottom w:val="nil"/>
              <w:right w:val="nil"/>
            </w:tcBorders>
            <w:shd w:val="clear" w:color="auto" w:fill="auto"/>
            <w:vAlign w:val="center"/>
          </w:tcPr>
          <w:p w14:paraId="666FD5C2" w14:textId="68D364D9"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1,552</w:t>
            </w:r>
          </w:p>
        </w:tc>
        <w:tc>
          <w:tcPr>
            <w:tcW w:w="1080" w:type="dxa"/>
            <w:tcBorders>
              <w:top w:val="nil"/>
              <w:left w:val="nil"/>
              <w:bottom w:val="nil"/>
              <w:right w:val="nil"/>
            </w:tcBorders>
            <w:shd w:val="clear" w:color="auto" w:fill="auto"/>
            <w:vAlign w:val="center"/>
          </w:tcPr>
          <w:p w14:paraId="6B686212" w14:textId="4BCA5B9B"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1,585</w:t>
            </w:r>
          </w:p>
        </w:tc>
      </w:tr>
      <w:tr w:rsidR="00691911" w:rsidRPr="00B2550C" w14:paraId="390438D8" w14:textId="77777777" w:rsidTr="00A01BFE">
        <w:trPr>
          <w:trHeight w:val="343"/>
        </w:trPr>
        <w:tc>
          <w:tcPr>
            <w:tcW w:w="2386" w:type="dxa"/>
            <w:tcBorders>
              <w:bottom w:val="single" w:sz="4" w:space="0" w:color="D6A461" w:themeColor="text2"/>
            </w:tcBorders>
            <w:shd w:val="clear" w:color="auto" w:fill="D9D9D9"/>
            <w:noWrap/>
            <w:vAlign w:val="center"/>
            <w:hideMark/>
          </w:tcPr>
          <w:p w14:paraId="426DA243"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GDP</w:t>
            </w:r>
          </w:p>
        </w:tc>
        <w:tc>
          <w:tcPr>
            <w:tcW w:w="1080" w:type="dxa"/>
            <w:tcBorders>
              <w:top w:val="nil"/>
              <w:left w:val="nil"/>
              <w:bottom w:val="single" w:sz="4" w:space="0" w:color="D6A461"/>
              <w:right w:val="nil"/>
            </w:tcBorders>
            <w:shd w:val="clear" w:color="000000" w:fill="DADDDF"/>
            <w:vAlign w:val="center"/>
          </w:tcPr>
          <w:p w14:paraId="02F6AE39" w14:textId="352ED672" w:rsidR="00691911" w:rsidRPr="00D17672" w:rsidRDefault="00691911" w:rsidP="00691911">
            <w:pPr>
              <w:bidi/>
              <w:rPr>
                <w:rFonts w:ascii="Tahoma" w:hAnsi="Tahoma" w:cs="Tahoma"/>
                <w:b/>
                <w:bCs/>
                <w:color w:val="595959"/>
                <w:sz w:val="20"/>
                <w:szCs w:val="20"/>
                <w:rtl/>
              </w:rPr>
            </w:pPr>
            <w:r>
              <w:rPr>
                <w:rFonts w:ascii="Tahoma" w:hAnsi="Tahoma" w:cs="Tahoma"/>
                <w:b/>
                <w:bCs/>
                <w:color w:val="6D6E71"/>
                <w:sz w:val="20"/>
                <w:szCs w:val="20"/>
                <w:rtl/>
              </w:rPr>
              <w:t>196,833</w:t>
            </w:r>
          </w:p>
        </w:tc>
        <w:tc>
          <w:tcPr>
            <w:tcW w:w="1080" w:type="dxa"/>
            <w:tcBorders>
              <w:top w:val="nil"/>
              <w:left w:val="nil"/>
              <w:bottom w:val="single" w:sz="4" w:space="0" w:color="D6A461"/>
              <w:right w:val="nil"/>
            </w:tcBorders>
            <w:shd w:val="clear" w:color="000000" w:fill="DADDDF"/>
            <w:vAlign w:val="center"/>
          </w:tcPr>
          <w:p w14:paraId="4C8677EE" w14:textId="645CFD7E" w:rsidR="00691911" w:rsidRPr="00D17672" w:rsidRDefault="00691911" w:rsidP="00691911">
            <w:pPr>
              <w:bidi/>
              <w:rPr>
                <w:rFonts w:ascii="Tahoma" w:hAnsi="Tahoma" w:cs="Tahoma"/>
                <w:b/>
                <w:bCs/>
                <w:color w:val="595959"/>
                <w:sz w:val="20"/>
                <w:szCs w:val="20"/>
                <w:rtl/>
              </w:rPr>
            </w:pPr>
            <w:r>
              <w:rPr>
                <w:rFonts w:ascii="Tahoma" w:hAnsi="Tahoma" w:cs="Tahoma"/>
                <w:b/>
                <w:bCs/>
                <w:color w:val="6D6E71"/>
                <w:sz w:val="20"/>
                <w:szCs w:val="20"/>
                <w:rtl/>
              </w:rPr>
              <w:t>201,523</w:t>
            </w:r>
          </w:p>
        </w:tc>
        <w:tc>
          <w:tcPr>
            <w:tcW w:w="1080" w:type="dxa"/>
            <w:tcBorders>
              <w:top w:val="nil"/>
              <w:left w:val="nil"/>
              <w:bottom w:val="single" w:sz="4" w:space="0" w:color="D6A461"/>
              <w:right w:val="nil"/>
            </w:tcBorders>
            <w:shd w:val="clear" w:color="000000" w:fill="DADDDF"/>
            <w:vAlign w:val="center"/>
          </w:tcPr>
          <w:p w14:paraId="5DB3BA48" w14:textId="65B4049D" w:rsidR="00691911" w:rsidRPr="00D17672" w:rsidRDefault="00691911" w:rsidP="00691911">
            <w:pPr>
              <w:bidi/>
              <w:rPr>
                <w:rFonts w:ascii="Tahoma" w:hAnsi="Tahoma" w:cs="Tahoma"/>
                <w:b/>
                <w:bCs/>
                <w:color w:val="595959"/>
                <w:sz w:val="20"/>
                <w:szCs w:val="20"/>
                <w:rtl/>
              </w:rPr>
            </w:pPr>
            <w:r>
              <w:rPr>
                <w:rFonts w:ascii="Tahoma" w:hAnsi="Tahoma" w:cs="Tahoma"/>
                <w:b/>
                <w:bCs/>
                <w:color w:val="6D6E71"/>
                <w:sz w:val="20"/>
                <w:szCs w:val="20"/>
                <w:rtl/>
              </w:rPr>
              <w:t>215,196</w:t>
            </w:r>
          </w:p>
        </w:tc>
        <w:tc>
          <w:tcPr>
            <w:tcW w:w="1080" w:type="dxa"/>
            <w:tcBorders>
              <w:top w:val="nil"/>
              <w:left w:val="nil"/>
              <w:bottom w:val="single" w:sz="4" w:space="0" w:color="D6A461"/>
              <w:right w:val="nil"/>
            </w:tcBorders>
            <w:shd w:val="clear" w:color="000000" w:fill="DADDDF"/>
            <w:vAlign w:val="center"/>
          </w:tcPr>
          <w:p w14:paraId="52FE3E50" w14:textId="1EE43987" w:rsidR="00691911" w:rsidRPr="00D17672" w:rsidRDefault="00691911" w:rsidP="00691911">
            <w:pPr>
              <w:bidi/>
              <w:rPr>
                <w:rFonts w:ascii="Tahoma" w:hAnsi="Tahoma" w:cs="Tahoma"/>
                <w:b/>
                <w:bCs/>
                <w:color w:val="595959"/>
                <w:sz w:val="20"/>
                <w:szCs w:val="20"/>
                <w:rtl/>
              </w:rPr>
            </w:pPr>
            <w:r>
              <w:rPr>
                <w:rFonts w:ascii="Tahoma" w:hAnsi="Tahoma" w:cs="Tahoma"/>
                <w:b/>
                <w:bCs/>
                <w:color w:val="6D6E71"/>
                <w:sz w:val="20"/>
                <w:szCs w:val="20"/>
                <w:rtl/>
              </w:rPr>
              <w:t>218,918</w:t>
            </w:r>
          </w:p>
        </w:tc>
        <w:tc>
          <w:tcPr>
            <w:tcW w:w="1080" w:type="dxa"/>
            <w:tcBorders>
              <w:top w:val="nil"/>
              <w:left w:val="nil"/>
              <w:bottom w:val="single" w:sz="4" w:space="0" w:color="D6A461"/>
              <w:right w:val="nil"/>
            </w:tcBorders>
            <w:shd w:val="clear" w:color="000000" w:fill="DADDDF"/>
            <w:vAlign w:val="center"/>
          </w:tcPr>
          <w:p w14:paraId="7EA95AF3" w14:textId="20B3AB5A" w:rsidR="00691911" w:rsidRPr="00D17672" w:rsidRDefault="00691911" w:rsidP="00691911">
            <w:pPr>
              <w:bidi/>
              <w:rPr>
                <w:rFonts w:ascii="Tahoma" w:hAnsi="Tahoma" w:cs="Tahoma"/>
                <w:b/>
                <w:bCs/>
                <w:color w:val="595959"/>
                <w:sz w:val="20"/>
                <w:szCs w:val="20"/>
                <w:rtl/>
              </w:rPr>
            </w:pPr>
            <w:r>
              <w:rPr>
                <w:rFonts w:ascii="Tahoma" w:hAnsi="Tahoma" w:cs="Tahoma"/>
                <w:b/>
                <w:bCs/>
                <w:color w:val="6D6E71"/>
                <w:sz w:val="20"/>
                <w:szCs w:val="20"/>
                <w:rtl/>
              </w:rPr>
              <w:t>231,665</w:t>
            </w:r>
          </w:p>
        </w:tc>
        <w:tc>
          <w:tcPr>
            <w:tcW w:w="1080" w:type="dxa"/>
            <w:tcBorders>
              <w:top w:val="nil"/>
              <w:left w:val="nil"/>
              <w:bottom w:val="single" w:sz="4" w:space="0" w:color="D6A461"/>
              <w:right w:val="nil"/>
            </w:tcBorders>
            <w:shd w:val="clear" w:color="000000" w:fill="DADDDF"/>
            <w:vAlign w:val="center"/>
          </w:tcPr>
          <w:p w14:paraId="42131EF4" w14:textId="3FDE8772" w:rsidR="00691911" w:rsidRPr="00D17672" w:rsidRDefault="00691911" w:rsidP="00691911">
            <w:pPr>
              <w:bidi/>
              <w:rPr>
                <w:rFonts w:ascii="Tahoma" w:hAnsi="Tahoma" w:cs="Tahoma"/>
                <w:b/>
                <w:bCs/>
                <w:color w:val="595959"/>
                <w:sz w:val="20"/>
                <w:szCs w:val="20"/>
                <w:rtl/>
              </w:rPr>
            </w:pPr>
            <w:r>
              <w:rPr>
                <w:rFonts w:ascii="Tahoma" w:hAnsi="Tahoma" w:cs="Tahoma"/>
                <w:b/>
                <w:bCs/>
                <w:color w:val="6D6E71"/>
                <w:sz w:val="20"/>
                <w:szCs w:val="20"/>
                <w:rtl/>
              </w:rPr>
              <w:t>237,547</w:t>
            </w:r>
          </w:p>
        </w:tc>
        <w:tc>
          <w:tcPr>
            <w:tcW w:w="1080" w:type="dxa"/>
            <w:tcBorders>
              <w:top w:val="nil"/>
              <w:left w:val="nil"/>
              <w:bottom w:val="single" w:sz="4" w:space="0" w:color="D6A461"/>
              <w:right w:val="nil"/>
            </w:tcBorders>
            <w:shd w:val="clear" w:color="000000" w:fill="DADDDF"/>
            <w:vAlign w:val="center"/>
          </w:tcPr>
          <w:p w14:paraId="72974816" w14:textId="10F588B7" w:rsidR="00691911" w:rsidRPr="00D17672" w:rsidRDefault="00691911" w:rsidP="00691911">
            <w:pPr>
              <w:bidi/>
              <w:rPr>
                <w:rFonts w:ascii="Tahoma" w:hAnsi="Tahoma" w:cs="Tahoma"/>
                <w:b/>
                <w:bCs/>
                <w:color w:val="595959"/>
                <w:sz w:val="20"/>
                <w:szCs w:val="20"/>
                <w:rtl/>
              </w:rPr>
            </w:pPr>
            <w:r>
              <w:rPr>
                <w:rFonts w:ascii="Tahoma" w:hAnsi="Tahoma" w:cs="Tahoma"/>
                <w:b/>
                <w:bCs/>
                <w:color w:val="6D6E71"/>
                <w:sz w:val="20"/>
                <w:szCs w:val="20"/>
                <w:rtl/>
              </w:rPr>
              <w:t>242,904</w:t>
            </w:r>
          </w:p>
        </w:tc>
        <w:tc>
          <w:tcPr>
            <w:tcW w:w="1080" w:type="dxa"/>
            <w:tcBorders>
              <w:top w:val="nil"/>
              <w:left w:val="nil"/>
              <w:bottom w:val="single" w:sz="4" w:space="0" w:color="D6A461"/>
              <w:right w:val="nil"/>
            </w:tcBorders>
            <w:shd w:val="clear" w:color="000000" w:fill="DADDDF"/>
            <w:vAlign w:val="center"/>
          </w:tcPr>
          <w:p w14:paraId="30B55ED7" w14:textId="20EDDB2F" w:rsidR="00691911" w:rsidRPr="00D17672" w:rsidRDefault="00691911" w:rsidP="00691911">
            <w:pPr>
              <w:bidi/>
              <w:rPr>
                <w:rFonts w:ascii="Tahoma" w:hAnsi="Tahoma" w:cs="Tahoma"/>
                <w:b/>
                <w:bCs/>
                <w:color w:val="595959"/>
                <w:sz w:val="20"/>
                <w:szCs w:val="20"/>
                <w:rtl/>
              </w:rPr>
            </w:pPr>
            <w:r>
              <w:rPr>
                <w:rFonts w:ascii="Tahoma" w:hAnsi="Tahoma" w:cs="Tahoma"/>
                <w:b/>
                <w:bCs/>
                <w:color w:val="6D6E71"/>
                <w:sz w:val="20"/>
                <w:szCs w:val="20"/>
                <w:rtl/>
              </w:rPr>
              <w:t>226,039</w:t>
            </w:r>
          </w:p>
        </w:tc>
      </w:tr>
    </w:tbl>
    <w:p w14:paraId="72058F08" w14:textId="77777777" w:rsidR="00F13B1C" w:rsidRDefault="00F13B1C" w:rsidP="00917809">
      <w:pPr>
        <w:pStyle w:val="EcoSourceNote"/>
      </w:pPr>
    </w:p>
    <w:p w14:paraId="5A4D1A91" w14:textId="77777777" w:rsidR="00117AE3" w:rsidRPr="00757155" w:rsidRDefault="00117AE3" w:rsidP="00917809">
      <w:pPr>
        <w:pStyle w:val="EcoSourceNote"/>
      </w:pPr>
      <w:r w:rsidRPr="00757155">
        <w:t>Source: Statistics Centre - Abu Dhabi</w:t>
      </w:r>
    </w:p>
    <w:p w14:paraId="5B0125D5" w14:textId="77777777" w:rsidR="00117AE3" w:rsidRPr="00757155" w:rsidRDefault="00117AE3" w:rsidP="00917809">
      <w:pPr>
        <w:pStyle w:val="EcoTableChartNotes"/>
      </w:pPr>
      <w:r w:rsidRPr="00757155">
        <w:t>*Preliminary estimates</w:t>
      </w:r>
    </w:p>
    <w:p w14:paraId="7FE004D5" w14:textId="77777777" w:rsidR="00FC1723" w:rsidRDefault="00FC1723" w:rsidP="00AE2030">
      <w:pPr>
        <w:autoSpaceDE w:val="0"/>
        <w:autoSpaceDN w:val="0"/>
        <w:adjustRightInd w:val="0"/>
        <w:spacing w:after="0" w:line="240" w:lineRule="auto"/>
        <w:contextualSpacing/>
        <w:rPr>
          <w:rFonts w:ascii="Arial" w:eastAsia="Calibri" w:hAnsi="Arial"/>
          <w:b/>
          <w:color w:val="D6A461" w:themeColor="text2"/>
        </w:rPr>
      </w:pPr>
    </w:p>
    <w:p w14:paraId="670FFB1A" w14:textId="77777777" w:rsidR="00AE2030" w:rsidRDefault="00AE2030" w:rsidP="00AE2030">
      <w:pPr>
        <w:autoSpaceDE w:val="0"/>
        <w:autoSpaceDN w:val="0"/>
        <w:adjustRightInd w:val="0"/>
        <w:spacing w:after="0" w:line="240" w:lineRule="auto"/>
        <w:contextualSpacing/>
        <w:rPr>
          <w:rFonts w:ascii="Arial" w:eastAsia="Calibri" w:hAnsi="Arial"/>
          <w:b/>
          <w:color w:val="D6A461" w:themeColor="text2"/>
        </w:rPr>
      </w:pPr>
    </w:p>
    <w:p w14:paraId="1DBAFB81" w14:textId="77777777" w:rsidR="00117AE3" w:rsidRPr="00B2550C" w:rsidRDefault="00117AE3" w:rsidP="007373BF">
      <w:pPr>
        <w:autoSpaceDE w:val="0"/>
        <w:autoSpaceDN w:val="0"/>
        <w:adjustRightInd w:val="0"/>
        <w:spacing w:after="0" w:line="240" w:lineRule="auto"/>
        <w:ind w:hanging="720"/>
        <w:contextualSpacing/>
        <w:rPr>
          <w:rFonts w:ascii="Arial" w:eastAsia="Calibri" w:hAnsi="Arial"/>
          <w:b/>
          <w:bCs/>
          <w:color w:val="595959"/>
        </w:rPr>
      </w:pPr>
      <w:r w:rsidRPr="00263BBB">
        <w:rPr>
          <w:rFonts w:ascii="Arial" w:eastAsia="Calibri" w:hAnsi="Arial"/>
          <w:b/>
          <w:color w:val="D6A461" w:themeColor="text2"/>
        </w:rPr>
        <w:lastRenderedPageBreak/>
        <w:t xml:space="preserve">Table 6: </w:t>
      </w:r>
      <w:r w:rsidRPr="00B2550C">
        <w:rPr>
          <w:rFonts w:ascii="Arial" w:eastAsia="Calibri" w:hAnsi="Arial"/>
          <w:b/>
          <w:color w:val="595959"/>
        </w:rPr>
        <w:t>Gross Domestic Product by sectors at constant 2007 prices</w:t>
      </w:r>
      <w:r w:rsidRPr="00263BBB">
        <w:rPr>
          <w:rFonts w:ascii="Arial" w:eastAsia="Calibri" w:hAnsi="Arial"/>
          <w:b/>
          <w:bCs/>
          <w:color w:val="C00000"/>
        </w:rPr>
        <w:t>*</w:t>
      </w:r>
    </w:p>
    <w:p w14:paraId="294F3FCF" w14:textId="77777777" w:rsidR="00117AE3" w:rsidRPr="00B2550C" w:rsidRDefault="00117AE3" w:rsidP="007373BF">
      <w:pPr>
        <w:spacing w:after="0" w:line="240" w:lineRule="auto"/>
        <w:ind w:left="-576" w:hanging="504"/>
        <w:rPr>
          <w:rFonts w:ascii="Arial" w:eastAsia="Calibri" w:hAnsi="Arial"/>
          <w:b/>
          <w:bCs/>
          <w:color w:val="595959"/>
          <w:sz w:val="20"/>
          <w:szCs w:val="20"/>
        </w:rPr>
      </w:pPr>
      <w:r w:rsidRPr="00B2550C">
        <w:rPr>
          <w:rFonts w:ascii="Arial" w:eastAsia="Calibri" w:hAnsi="Arial"/>
          <w:b/>
          <w:bCs/>
          <w:color w:val="595959"/>
          <w:sz w:val="20"/>
          <w:szCs w:val="20"/>
        </w:rPr>
        <w:t xml:space="preserve">       </w:t>
      </w:r>
      <w:r w:rsidRPr="00B2550C">
        <w:rPr>
          <w:rFonts w:ascii="Arial" w:hAnsi="Arial"/>
          <w:color w:val="595959"/>
          <w:sz w:val="20"/>
          <w:szCs w:val="20"/>
        </w:rPr>
        <w:t>Value in million AED</w:t>
      </w:r>
    </w:p>
    <w:tbl>
      <w:tblPr>
        <w:tblW w:w="10890" w:type="dxa"/>
        <w:tblInd w:w="-810" w:type="dxa"/>
        <w:tblLayout w:type="fixed"/>
        <w:tblLook w:val="04A0" w:firstRow="1" w:lastRow="0" w:firstColumn="1" w:lastColumn="0" w:noHBand="0" w:noVBand="1"/>
      </w:tblPr>
      <w:tblGrid>
        <w:gridCol w:w="1696"/>
        <w:gridCol w:w="1150"/>
        <w:gridCol w:w="1150"/>
        <w:gridCol w:w="1149"/>
        <w:gridCol w:w="1149"/>
        <w:gridCol w:w="1149"/>
        <w:gridCol w:w="1149"/>
        <w:gridCol w:w="1149"/>
        <w:gridCol w:w="1149"/>
      </w:tblGrid>
      <w:tr w:rsidR="00691911" w:rsidRPr="00B2550C" w14:paraId="5861AC50" w14:textId="77777777" w:rsidTr="00691911">
        <w:trPr>
          <w:trHeight w:val="379"/>
        </w:trPr>
        <w:tc>
          <w:tcPr>
            <w:tcW w:w="1696" w:type="dxa"/>
            <w:shd w:val="clear" w:color="auto" w:fill="D6A461" w:themeFill="text2"/>
            <w:noWrap/>
            <w:vAlign w:val="center"/>
            <w:hideMark/>
          </w:tcPr>
          <w:p w14:paraId="604FA7A9" w14:textId="6D03316B"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Sector</w:t>
            </w:r>
            <w:r>
              <w:rPr>
                <w:rFonts w:ascii="Tahoma" w:hAnsi="Tahoma" w:cs="Tahoma"/>
                <w:b/>
                <w:bCs/>
                <w:color w:val="FFFFFF"/>
                <w:sz w:val="20"/>
                <w:szCs w:val="20"/>
              </w:rPr>
              <w:br/>
              <w:t>Seasonally adjusted</w:t>
            </w:r>
          </w:p>
        </w:tc>
        <w:tc>
          <w:tcPr>
            <w:tcW w:w="1150" w:type="dxa"/>
            <w:shd w:val="clear" w:color="auto" w:fill="D6A461" w:themeFill="text2"/>
            <w:vAlign w:val="center"/>
          </w:tcPr>
          <w:p w14:paraId="6ADFF8D3" w14:textId="2DD192B5" w:rsidR="00691911" w:rsidRPr="007B341D" w:rsidRDefault="00691911" w:rsidP="00691911">
            <w:pPr>
              <w:spacing w:after="0" w:line="240" w:lineRule="auto"/>
              <w:jc w:val="right"/>
              <w:rPr>
                <w:rFonts w:ascii="Tahoma" w:hAnsi="Tahoma" w:cs="Tahoma"/>
                <w:b/>
                <w:bCs/>
                <w:color w:val="FFFFFF"/>
                <w:sz w:val="18"/>
                <w:szCs w:val="18"/>
              </w:rPr>
            </w:pPr>
            <w:r w:rsidRPr="007373BF">
              <w:rPr>
                <w:rFonts w:ascii="Tahoma" w:hAnsi="Tahoma" w:cs="Tahoma"/>
                <w:b/>
                <w:bCs/>
                <w:color w:val="FFFFFF"/>
                <w:sz w:val="18"/>
                <w:szCs w:val="18"/>
              </w:rPr>
              <w:t xml:space="preserve">Q2 </w:t>
            </w:r>
            <w:r>
              <w:rPr>
                <w:rFonts w:ascii="Tahoma" w:hAnsi="Tahoma" w:cs="Tahoma"/>
                <w:b/>
                <w:bCs/>
                <w:color w:val="FFFFFF"/>
                <w:sz w:val="18"/>
                <w:szCs w:val="18"/>
              </w:rPr>
              <w:t>2017</w:t>
            </w:r>
          </w:p>
        </w:tc>
        <w:tc>
          <w:tcPr>
            <w:tcW w:w="1150" w:type="dxa"/>
            <w:shd w:val="clear" w:color="auto" w:fill="D6A461" w:themeFill="text2"/>
            <w:vAlign w:val="center"/>
          </w:tcPr>
          <w:p w14:paraId="2D59AF37" w14:textId="06C11DBB" w:rsidR="00691911" w:rsidRPr="007373BF" w:rsidRDefault="00691911" w:rsidP="00691911">
            <w:pPr>
              <w:spacing w:after="0" w:line="240" w:lineRule="auto"/>
              <w:jc w:val="right"/>
              <w:rPr>
                <w:rFonts w:ascii="Arial" w:hAnsi="Arial"/>
                <w:b/>
                <w:bCs/>
                <w:color w:val="FFFFFF"/>
                <w:sz w:val="18"/>
                <w:szCs w:val="18"/>
              </w:rPr>
            </w:pPr>
            <w:r w:rsidRPr="007373BF">
              <w:rPr>
                <w:rFonts w:ascii="Tahoma" w:hAnsi="Tahoma" w:cs="Tahoma"/>
                <w:b/>
                <w:bCs/>
                <w:color w:val="FFFFFF"/>
                <w:sz w:val="18"/>
                <w:szCs w:val="18"/>
              </w:rPr>
              <w:t xml:space="preserve">Q3 </w:t>
            </w:r>
            <w:r>
              <w:rPr>
                <w:rFonts w:ascii="Tahoma" w:hAnsi="Tahoma" w:cs="Tahoma"/>
                <w:b/>
                <w:bCs/>
                <w:color w:val="FFFFFF"/>
                <w:sz w:val="18"/>
                <w:szCs w:val="18"/>
              </w:rPr>
              <w:t>2017</w:t>
            </w:r>
          </w:p>
        </w:tc>
        <w:tc>
          <w:tcPr>
            <w:tcW w:w="1149" w:type="dxa"/>
            <w:shd w:val="clear" w:color="auto" w:fill="D6A461" w:themeFill="text2"/>
            <w:vAlign w:val="center"/>
          </w:tcPr>
          <w:p w14:paraId="64A38E7F" w14:textId="0A2C87E0" w:rsidR="00691911" w:rsidRPr="007373BF" w:rsidRDefault="00691911" w:rsidP="00691911">
            <w:pPr>
              <w:spacing w:after="0" w:line="240" w:lineRule="auto"/>
              <w:jc w:val="right"/>
              <w:rPr>
                <w:rFonts w:ascii="Arial" w:hAnsi="Arial"/>
                <w:b/>
                <w:bCs/>
                <w:color w:val="FFFFFF"/>
                <w:sz w:val="18"/>
                <w:szCs w:val="18"/>
              </w:rPr>
            </w:pPr>
            <w:r w:rsidRPr="007373BF">
              <w:rPr>
                <w:rFonts w:ascii="Tahoma" w:hAnsi="Tahoma" w:cs="Tahoma"/>
                <w:b/>
                <w:bCs/>
                <w:color w:val="FFFFFF"/>
                <w:sz w:val="18"/>
                <w:szCs w:val="18"/>
              </w:rPr>
              <w:t xml:space="preserve">Q4 </w:t>
            </w:r>
            <w:r>
              <w:rPr>
                <w:rFonts w:ascii="Tahoma" w:hAnsi="Tahoma" w:cs="Tahoma"/>
                <w:b/>
                <w:bCs/>
                <w:color w:val="FFFFFF"/>
                <w:sz w:val="18"/>
                <w:szCs w:val="18"/>
              </w:rPr>
              <w:t>2017</w:t>
            </w:r>
          </w:p>
        </w:tc>
        <w:tc>
          <w:tcPr>
            <w:tcW w:w="1149" w:type="dxa"/>
            <w:shd w:val="clear" w:color="auto" w:fill="D6A461" w:themeFill="text2"/>
            <w:vAlign w:val="center"/>
          </w:tcPr>
          <w:p w14:paraId="719E7CD8" w14:textId="7152F1BB" w:rsidR="00691911" w:rsidRPr="007373BF" w:rsidRDefault="00691911" w:rsidP="00691911">
            <w:pPr>
              <w:spacing w:after="0" w:line="240" w:lineRule="auto"/>
              <w:jc w:val="right"/>
              <w:rPr>
                <w:rFonts w:ascii="Arial" w:hAnsi="Arial"/>
                <w:b/>
                <w:bCs/>
                <w:color w:val="FFFFFF"/>
                <w:sz w:val="18"/>
                <w:szCs w:val="18"/>
              </w:rPr>
            </w:pPr>
            <w:r w:rsidRPr="007373BF">
              <w:rPr>
                <w:rFonts w:ascii="Tahoma" w:hAnsi="Tahoma" w:cs="Tahoma"/>
                <w:b/>
                <w:bCs/>
                <w:color w:val="FFFFFF"/>
                <w:sz w:val="18"/>
                <w:szCs w:val="18"/>
              </w:rPr>
              <w:t>Q</w:t>
            </w:r>
            <w:r>
              <w:rPr>
                <w:rFonts w:ascii="Tahoma" w:hAnsi="Tahoma" w:cs="Tahoma"/>
                <w:b/>
                <w:bCs/>
                <w:color w:val="FFFFFF"/>
                <w:sz w:val="18"/>
                <w:szCs w:val="18"/>
              </w:rPr>
              <w:t>1</w:t>
            </w:r>
            <w:r w:rsidRPr="007373BF">
              <w:rPr>
                <w:rFonts w:ascii="Tahoma" w:hAnsi="Tahoma" w:cs="Tahoma"/>
                <w:b/>
                <w:bCs/>
                <w:color w:val="FFFFFF"/>
                <w:sz w:val="18"/>
                <w:szCs w:val="18"/>
              </w:rPr>
              <w:t xml:space="preserve"> </w:t>
            </w:r>
            <w:r>
              <w:rPr>
                <w:rFonts w:ascii="Tahoma" w:hAnsi="Tahoma" w:cs="Tahoma"/>
                <w:b/>
                <w:bCs/>
                <w:color w:val="FFFFFF"/>
                <w:sz w:val="18"/>
                <w:szCs w:val="18"/>
              </w:rPr>
              <w:t>2018</w:t>
            </w:r>
          </w:p>
        </w:tc>
        <w:tc>
          <w:tcPr>
            <w:tcW w:w="1149" w:type="dxa"/>
            <w:shd w:val="clear" w:color="auto" w:fill="D6A461" w:themeFill="text2"/>
            <w:vAlign w:val="center"/>
          </w:tcPr>
          <w:p w14:paraId="68285B15" w14:textId="14AD1A41" w:rsidR="00691911" w:rsidRPr="007373BF" w:rsidRDefault="00691911" w:rsidP="00691911">
            <w:pPr>
              <w:spacing w:after="0" w:line="240" w:lineRule="auto"/>
              <w:jc w:val="right"/>
              <w:rPr>
                <w:rFonts w:ascii="Tahoma" w:hAnsi="Tahoma" w:cs="Tahoma"/>
                <w:b/>
                <w:bCs/>
                <w:color w:val="FFFFFF"/>
                <w:sz w:val="18"/>
                <w:szCs w:val="18"/>
              </w:rPr>
            </w:pPr>
            <w:r w:rsidRPr="007373BF">
              <w:rPr>
                <w:rFonts w:ascii="Tahoma" w:hAnsi="Tahoma" w:cs="Tahoma"/>
                <w:b/>
                <w:bCs/>
                <w:color w:val="FFFFFF"/>
                <w:sz w:val="18"/>
                <w:szCs w:val="18"/>
              </w:rPr>
              <w:t>Q</w:t>
            </w:r>
            <w:r>
              <w:rPr>
                <w:rFonts w:ascii="Tahoma" w:hAnsi="Tahoma" w:cs="Tahoma"/>
                <w:b/>
                <w:bCs/>
                <w:color w:val="FFFFFF"/>
                <w:sz w:val="18"/>
                <w:szCs w:val="18"/>
              </w:rPr>
              <w:t>2</w:t>
            </w:r>
            <w:r w:rsidRPr="007373BF">
              <w:rPr>
                <w:rFonts w:ascii="Tahoma" w:hAnsi="Tahoma" w:cs="Tahoma"/>
                <w:b/>
                <w:bCs/>
                <w:color w:val="FFFFFF"/>
                <w:sz w:val="18"/>
                <w:szCs w:val="18"/>
              </w:rPr>
              <w:t xml:space="preserve"> </w:t>
            </w:r>
            <w:r>
              <w:rPr>
                <w:rFonts w:ascii="Tahoma" w:hAnsi="Tahoma" w:cs="Tahoma"/>
                <w:b/>
                <w:bCs/>
                <w:color w:val="FFFFFF"/>
                <w:sz w:val="18"/>
                <w:szCs w:val="18"/>
              </w:rPr>
              <w:t>2018</w:t>
            </w:r>
          </w:p>
        </w:tc>
        <w:tc>
          <w:tcPr>
            <w:tcW w:w="1149" w:type="dxa"/>
            <w:shd w:val="clear" w:color="auto" w:fill="D6A461" w:themeFill="text2"/>
            <w:vAlign w:val="center"/>
          </w:tcPr>
          <w:p w14:paraId="6F3B3521" w14:textId="3896B2CF" w:rsidR="00691911" w:rsidRPr="007373BF" w:rsidRDefault="00691911" w:rsidP="00691911">
            <w:pPr>
              <w:spacing w:after="0" w:line="240" w:lineRule="auto"/>
              <w:jc w:val="right"/>
              <w:rPr>
                <w:rFonts w:ascii="Tahoma" w:hAnsi="Tahoma" w:cs="Tahoma"/>
                <w:b/>
                <w:bCs/>
                <w:color w:val="FFFFFF"/>
                <w:sz w:val="18"/>
                <w:szCs w:val="18"/>
              </w:rPr>
            </w:pPr>
            <w:r w:rsidRPr="007373BF">
              <w:rPr>
                <w:rFonts w:ascii="Tahoma" w:hAnsi="Tahoma" w:cs="Tahoma"/>
                <w:b/>
                <w:bCs/>
                <w:color w:val="FFFFFF"/>
                <w:sz w:val="18"/>
                <w:szCs w:val="18"/>
              </w:rPr>
              <w:t>Q</w:t>
            </w:r>
            <w:r>
              <w:rPr>
                <w:rFonts w:ascii="Tahoma" w:hAnsi="Tahoma" w:cs="Tahoma"/>
                <w:b/>
                <w:bCs/>
                <w:color w:val="FFFFFF"/>
                <w:sz w:val="18"/>
                <w:szCs w:val="18"/>
              </w:rPr>
              <w:t>3</w:t>
            </w:r>
            <w:r w:rsidRPr="007373BF">
              <w:rPr>
                <w:rFonts w:ascii="Tahoma" w:hAnsi="Tahoma" w:cs="Tahoma"/>
                <w:b/>
                <w:bCs/>
                <w:color w:val="FFFFFF"/>
                <w:sz w:val="18"/>
                <w:szCs w:val="18"/>
              </w:rPr>
              <w:t xml:space="preserve"> </w:t>
            </w:r>
            <w:r>
              <w:rPr>
                <w:rFonts w:ascii="Tahoma" w:hAnsi="Tahoma" w:cs="Tahoma"/>
                <w:b/>
                <w:bCs/>
                <w:color w:val="FFFFFF"/>
                <w:sz w:val="18"/>
                <w:szCs w:val="18"/>
              </w:rPr>
              <w:t>2018</w:t>
            </w:r>
          </w:p>
        </w:tc>
        <w:tc>
          <w:tcPr>
            <w:tcW w:w="1149" w:type="dxa"/>
            <w:shd w:val="clear" w:color="auto" w:fill="D6A461" w:themeFill="text2"/>
            <w:vAlign w:val="center"/>
          </w:tcPr>
          <w:p w14:paraId="4D722088" w14:textId="786A121B" w:rsidR="00691911" w:rsidRPr="007373BF" w:rsidRDefault="00691911" w:rsidP="00691911">
            <w:pPr>
              <w:spacing w:after="0" w:line="240" w:lineRule="auto"/>
              <w:jc w:val="right"/>
              <w:rPr>
                <w:rFonts w:ascii="Tahoma" w:hAnsi="Tahoma" w:cs="Tahoma"/>
                <w:b/>
                <w:bCs/>
                <w:color w:val="FFFFFF"/>
                <w:sz w:val="18"/>
                <w:szCs w:val="18"/>
              </w:rPr>
            </w:pPr>
            <w:r w:rsidRPr="007373BF">
              <w:rPr>
                <w:rFonts w:ascii="Tahoma" w:hAnsi="Tahoma" w:cs="Tahoma"/>
                <w:b/>
                <w:bCs/>
                <w:color w:val="FFFFFF"/>
                <w:sz w:val="18"/>
                <w:szCs w:val="18"/>
              </w:rPr>
              <w:t>Q</w:t>
            </w:r>
            <w:r>
              <w:rPr>
                <w:rFonts w:ascii="Tahoma" w:hAnsi="Tahoma" w:cs="Tahoma" w:hint="cs"/>
                <w:b/>
                <w:bCs/>
                <w:color w:val="FFFFFF"/>
                <w:sz w:val="18"/>
                <w:szCs w:val="18"/>
                <w:rtl/>
              </w:rPr>
              <w:t>4</w:t>
            </w:r>
            <w:r w:rsidRPr="007373BF">
              <w:rPr>
                <w:rFonts w:ascii="Tahoma" w:hAnsi="Tahoma" w:cs="Tahoma"/>
                <w:b/>
                <w:bCs/>
                <w:color w:val="FFFFFF"/>
                <w:sz w:val="18"/>
                <w:szCs w:val="18"/>
              </w:rPr>
              <w:t xml:space="preserve"> </w:t>
            </w:r>
            <w:r>
              <w:rPr>
                <w:rFonts w:ascii="Tahoma" w:hAnsi="Tahoma" w:cs="Tahoma"/>
                <w:b/>
                <w:bCs/>
                <w:color w:val="FFFFFF"/>
                <w:sz w:val="18"/>
                <w:szCs w:val="18"/>
              </w:rPr>
              <w:t>2018</w:t>
            </w:r>
          </w:p>
        </w:tc>
        <w:tc>
          <w:tcPr>
            <w:tcW w:w="1149" w:type="dxa"/>
            <w:shd w:val="clear" w:color="auto" w:fill="D6A461" w:themeFill="text2"/>
            <w:vAlign w:val="center"/>
          </w:tcPr>
          <w:p w14:paraId="2E56F0D3" w14:textId="730199F6" w:rsidR="00691911" w:rsidRPr="007373BF" w:rsidRDefault="00691911" w:rsidP="00691911">
            <w:pPr>
              <w:spacing w:after="0" w:line="240" w:lineRule="auto"/>
              <w:jc w:val="right"/>
              <w:rPr>
                <w:rFonts w:ascii="Tahoma" w:hAnsi="Tahoma" w:cs="Tahoma"/>
                <w:b/>
                <w:bCs/>
                <w:color w:val="FFFFFF"/>
                <w:sz w:val="18"/>
                <w:szCs w:val="18"/>
              </w:rPr>
            </w:pPr>
            <w:r w:rsidRPr="007373BF">
              <w:rPr>
                <w:rFonts w:ascii="Tahoma" w:hAnsi="Tahoma" w:cs="Tahoma"/>
                <w:b/>
                <w:bCs/>
                <w:color w:val="FFFFFF"/>
                <w:sz w:val="18"/>
                <w:szCs w:val="18"/>
              </w:rPr>
              <w:t>Q</w:t>
            </w:r>
            <w:r>
              <w:rPr>
                <w:rFonts w:ascii="Tahoma" w:hAnsi="Tahoma" w:cs="Tahoma"/>
                <w:b/>
                <w:bCs/>
                <w:color w:val="FFFFFF"/>
                <w:sz w:val="18"/>
                <w:szCs w:val="18"/>
              </w:rPr>
              <w:t>1</w:t>
            </w:r>
            <w:r w:rsidRPr="007373BF">
              <w:rPr>
                <w:rFonts w:ascii="Tahoma" w:hAnsi="Tahoma" w:cs="Tahoma"/>
                <w:b/>
                <w:bCs/>
                <w:color w:val="FFFFFF"/>
                <w:sz w:val="18"/>
                <w:szCs w:val="18"/>
              </w:rPr>
              <w:t xml:space="preserve"> </w:t>
            </w:r>
            <w:r>
              <w:rPr>
                <w:rFonts w:ascii="Tahoma" w:hAnsi="Tahoma" w:cs="Tahoma"/>
                <w:b/>
                <w:bCs/>
                <w:color w:val="FFFFFF"/>
                <w:sz w:val="18"/>
                <w:szCs w:val="18"/>
              </w:rPr>
              <w:t>2019</w:t>
            </w:r>
          </w:p>
        </w:tc>
      </w:tr>
      <w:tr w:rsidR="00691911" w:rsidRPr="00A440DD" w14:paraId="36C07BFC" w14:textId="77777777" w:rsidTr="00691911">
        <w:trPr>
          <w:trHeight w:val="288"/>
        </w:trPr>
        <w:tc>
          <w:tcPr>
            <w:tcW w:w="1696" w:type="dxa"/>
            <w:shd w:val="clear" w:color="auto" w:fill="auto"/>
            <w:noWrap/>
            <w:vAlign w:val="center"/>
          </w:tcPr>
          <w:p w14:paraId="361C54DA" w14:textId="09F7DEDE" w:rsidR="00691911" w:rsidRPr="007153F6" w:rsidRDefault="00691911" w:rsidP="00691911">
            <w:pPr>
              <w:rPr>
                <w:rFonts w:ascii="Tahoma" w:hAnsi="Tahoma" w:cs="Tahoma"/>
                <w:color w:val="595959"/>
                <w:sz w:val="20"/>
                <w:szCs w:val="20"/>
              </w:rPr>
            </w:pPr>
            <w:r w:rsidRPr="0016203F">
              <w:rPr>
                <w:rFonts w:ascii="Tahoma" w:hAnsi="Tahoma" w:cs="Tahoma"/>
                <w:color w:val="595959"/>
                <w:sz w:val="20"/>
                <w:szCs w:val="20"/>
              </w:rPr>
              <w:t xml:space="preserve">Non-financial </w:t>
            </w:r>
          </w:p>
        </w:tc>
        <w:tc>
          <w:tcPr>
            <w:tcW w:w="1150" w:type="dxa"/>
            <w:tcBorders>
              <w:top w:val="nil"/>
              <w:left w:val="nil"/>
              <w:bottom w:val="nil"/>
              <w:right w:val="nil"/>
            </w:tcBorders>
            <w:shd w:val="clear" w:color="auto" w:fill="auto"/>
            <w:vAlign w:val="center"/>
          </w:tcPr>
          <w:p w14:paraId="77EFF639" w14:textId="41145D5A"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172,281</w:t>
            </w:r>
          </w:p>
        </w:tc>
        <w:tc>
          <w:tcPr>
            <w:tcW w:w="1150" w:type="dxa"/>
            <w:tcBorders>
              <w:top w:val="nil"/>
              <w:left w:val="nil"/>
              <w:bottom w:val="nil"/>
              <w:right w:val="nil"/>
            </w:tcBorders>
            <w:shd w:val="clear" w:color="auto" w:fill="auto"/>
            <w:vAlign w:val="center"/>
          </w:tcPr>
          <w:p w14:paraId="4BC5F067" w14:textId="5F92CE28"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171,655</w:t>
            </w:r>
          </w:p>
        </w:tc>
        <w:tc>
          <w:tcPr>
            <w:tcW w:w="1149" w:type="dxa"/>
            <w:tcBorders>
              <w:top w:val="nil"/>
              <w:left w:val="nil"/>
              <w:bottom w:val="nil"/>
              <w:right w:val="nil"/>
            </w:tcBorders>
            <w:shd w:val="clear" w:color="auto" w:fill="auto"/>
            <w:vAlign w:val="center"/>
          </w:tcPr>
          <w:p w14:paraId="03A47776" w14:textId="5F6AF57F"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172,306</w:t>
            </w:r>
          </w:p>
        </w:tc>
        <w:tc>
          <w:tcPr>
            <w:tcW w:w="1149" w:type="dxa"/>
            <w:tcBorders>
              <w:top w:val="nil"/>
              <w:left w:val="nil"/>
              <w:bottom w:val="nil"/>
              <w:right w:val="nil"/>
            </w:tcBorders>
            <w:shd w:val="clear" w:color="auto" w:fill="auto"/>
            <w:vAlign w:val="center"/>
          </w:tcPr>
          <w:p w14:paraId="5787ADC0" w14:textId="5F3BF4A7"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172,722</w:t>
            </w:r>
          </w:p>
        </w:tc>
        <w:tc>
          <w:tcPr>
            <w:tcW w:w="1149" w:type="dxa"/>
            <w:tcBorders>
              <w:top w:val="nil"/>
              <w:left w:val="nil"/>
              <w:bottom w:val="nil"/>
              <w:right w:val="nil"/>
            </w:tcBorders>
            <w:shd w:val="clear" w:color="auto" w:fill="auto"/>
            <w:vAlign w:val="center"/>
          </w:tcPr>
          <w:p w14:paraId="0B218E52" w14:textId="2F30802E"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174,595</w:t>
            </w:r>
          </w:p>
        </w:tc>
        <w:tc>
          <w:tcPr>
            <w:tcW w:w="1149" w:type="dxa"/>
            <w:tcBorders>
              <w:top w:val="nil"/>
              <w:left w:val="nil"/>
              <w:bottom w:val="nil"/>
              <w:right w:val="nil"/>
            </w:tcBorders>
            <w:shd w:val="clear" w:color="auto" w:fill="auto"/>
            <w:vAlign w:val="center"/>
          </w:tcPr>
          <w:p w14:paraId="215DA506" w14:textId="39FFA571"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177,049</w:t>
            </w:r>
          </w:p>
        </w:tc>
        <w:tc>
          <w:tcPr>
            <w:tcW w:w="1149" w:type="dxa"/>
            <w:tcBorders>
              <w:top w:val="nil"/>
              <w:left w:val="nil"/>
              <w:bottom w:val="nil"/>
              <w:right w:val="nil"/>
            </w:tcBorders>
            <w:shd w:val="clear" w:color="auto" w:fill="auto"/>
            <w:vAlign w:val="center"/>
          </w:tcPr>
          <w:p w14:paraId="2090AABA" w14:textId="3ED6188F"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179,524</w:t>
            </w:r>
          </w:p>
        </w:tc>
        <w:tc>
          <w:tcPr>
            <w:tcW w:w="1149" w:type="dxa"/>
            <w:tcBorders>
              <w:top w:val="nil"/>
              <w:left w:val="nil"/>
              <w:bottom w:val="nil"/>
              <w:right w:val="nil"/>
            </w:tcBorders>
            <w:shd w:val="clear" w:color="auto" w:fill="auto"/>
            <w:vAlign w:val="center"/>
          </w:tcPr>
          <w:p w14:paraId="68F26959" w14:textId="0977E7BE"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184,228</w:t>
            </w:r>
          </w:p>
        </w:tc>
      </w:tr>
      <w:tr w:rsidR="00691911" w:rsidRPr="00A440DD" w14:paraId="3A651711" w14:textId="77777777" w:rsidTr="00691911">
        <w:trPr>
          <w:trHeight w:val="288"/>
        </w:trPr>
        <w:tc>
          <w:tcPr>
            <w:tcW w:w="1696" w:type="dxa"/>
            <w:shd w:val="clear" w:color="auto" w:fill="auto"/>
            <w:noWrap/>
            <w:vAlign w:val="center"/>
          </w:tcPr>
          <w:p w14:paraId="116147AB" w14:textId="052DA77E" w:rsidR="00691911" w:rsidRPr="00B2550C" w:rsidRDefault="00691911" w:rsidP="00691911">
            <w:pPr>
              <w:rPr>
                <w:rFonts w:ascii="Arial" w:hAnsi="Arial"/>
                <w:color w:val="595959"/>
                <w:sz w:val="18"/>
                <w:szCs w:val="18"/>
              </w:rPr>
            </w:pPr>
            <w:r w:rsidRPr="0016203F">
              <w:rPr>
                <w:rFonts w:ascii="Tahoma" w:hAnsi="Tahoma" w:cs="Tahoma"/>
                <w:color w:val="595959"/>
                <w:sz w:val="20"/>
                <w:szCs w:val="20"/>
              </w:rPr>
              <w:t>Financial companies</w:t>
            </w:r>
          </w:p>
        </w:tc>
        <w:tc>
          <w:tcPr>
            <w:tcW w:w="1150" w:type="dxa"/>
            <w:tcBorders>
              <w:top w:val="nil"/>
              <w:left w:val="nil"/>
              <w:bottom w:val="nil"/>
              <w:right w:val="nil"/>
            </w:tcBorders>
            <w:shd w:val="clear" w:color="auto" w:fill="auto"/>
            <w:vAlign w:val="center"/>
          </w:tcPr>
          <w:p w14:paraId="5C072BC8" w14:textId="57B25FD1"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14,162</w:t>
            </w:r>
          </w:p>
        </w:tc>
        <w:tc>
          <w:tcPr>
            <w:tcW w:w="1150" w:type="dxa"/>
            <w:tcBorders>
              <w:top w:val="nil"/>
              <w:left w:val="nil"/>
              <w:bottom w:val="nil"/>
              <w:right w:val="nil"/>
            </w:tcBorders>
            <w:shd w:val="clear" w:color="auto" w:fill="auto"/>
            <w:vAlign w:val="center"/>
          </w:tcPr>
          <w:p w14:paraId="1A278E7F" w14:textId="76D28F56"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14,614</w:t>
            </w:r>
          </w:p>
        </w:tc>
        <w:tc>
          <w:tcPr>
            <w:tcW w:w="1149" w:type="dxa"/>
            <w:tcBorders>
              <w:top w:val="nil"/>
              <w:left w:val="nil"/>
              <w:bottom w:val="nil"/>
              <w:right w:val="nil"/>
            </w:tcBorders>
            <w:shd w:val="clear" w:color="auto" w:fill="auto"/>
            <w:vAlign w:val="center"/>
          </w:tcPr>
          <w:p w14:paraId="7A9254C2" w14:textId="37E0CA68"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14,640</w:t>
            </w:r>
          </w:p>
        </w:tc>
        <w:tc>
          <w:tcPr>
            <w:tcW w:w="1149" w:type="dxa"/>
            <w:tcBorders>
              <w:top w:val="nil"/>
              <w:left w:val="nil"/>
              <w:bottom w:val="nil"/>
              <w:right w:val="nil"/>
            </w:tcBorders>
            <w:shd w:val="clear" w:color="auto" w:fill="auto"/>
            <w:vAlign w:val="center"/>
          </w:tcPr>
          <w:p w14:paraId="5ACA8046" w14:textId="3831AB52"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14,470</w:t>
            </w:r>
          </w:p>
        </w:tc>
        <w:tc>
          <w:tcPr>
            <w:tcW w:w="1149" w:type="dxa"/>
            <w:tcBorders>
              <w:top w:val="nil"/>
              <w:left w:val="nil"/>
              <w:bottom w:val="nil"/>
              <w:right w:val="nil"/>
            </w:tcBorders>
            <w:shd w:val="clear" w:color="auto" w:fill="auto"/>
            <w:vAlign w:val="center"/>
          </w:tcPr>
          <w:p w14:paraId="25A7E98E" w14:textId="0E2CC6DC"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15,878</w:t>
            </w:r>
          </w:p>
        </w:tc>
        <w:tc>
          <w:tcPr>
            <w:tcW w:w="1149" w:type="dxa"/>
            <w:tcBorders>
              <w:top w:val="nil"/>
              <w:left w:val="nil"/>
              <w:bottom w:val="nil"/>
              <w:right w:val="nil"/>
            </w:tcBorders>
            <w:shd w:val="clear" w:color="auto" w:fill="auto"/>
            <w:vAlign w:val="center"/>
          </w:tcPr>
          <w:p w14:paraId="35B7A42F" w14:textId="2EC6290F"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12,807</w:t>
            </w:r>
          </w:p>
        </w:tc>
        <w:tc>
          <w:tcPr>
            <w:tcW w:w="1149" w:type="dxa"/>
            <w:tcBorders>
              <w:top w:val="nil"/>
              <w:left w:val="nil"/>
              <w:bottom w:val="nil"/>
              <w:right w:val="nil"/>
            </w:tcBorders>
            <w:shd w:val="clear" w:color="auto" w:fill="auto"/>
            <w:vAlign w:val="center"/>
          </w:tcPr>
          <w:p w14:paraId="6122705F" w14:textId="49649738"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14,814</w:t>
            </w:r>
          </w:p>
        </w:tc>
        <w:tc>
          <w:tcPr>
            <w:tcW w:w="1149" w:type="dxa"/>
            <w:tcBorders>
              <w:top w:val="nil"/>
              <w:left w:val="nil"/>
              <w:bottom w:val="nil"/>
              <w:right w:val="nil"/>
            </w:tcBorders>
            <w:shd w:val="clear" w:color="auto" w:fill="auto"/>
            <w:vAlign w:val="center"/>
          </w:tcPr>
          <w:p w14:paraId="013DC96D" w14:textId="58021F71"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14,125</w:t>
            </w:r>
          </w:p>
        </w:tc>
      </w:tr>
      <w:tr w:rsidR="00691911" w:rsidRPr="00A440DD" w14:paraId="22E9C9D8" w14:textId="77777777" w:rsidTr="00691911">
        <w:trPr>
          <w:trHeight w:val="415"/>
        </w:trPr>
        <w:tc>
          <w:tcPr>
            <w:tcW w:w="1696" w:type="dxa"/>
            <w:shd w:val="clear" w:color="auto" w:fill="auto"/>
            <w:noWrap/>
            <w:vAlign w:val="center"/>
          </w:tcPr>
          <w:p w14:paraId="5332B10E" w14:textId="437F5322" w:rsidR="00691911" w:rsidRPr="00B2550C" w:rsidRDefault="00691911" w:rsidP="00691911">
            <w:pPr>
              <w:rPr>
                <w:rFonts w:ascii="Arial" w:hAnsi="Arial"/>
                <w:color w:val="595959"/>
                <w:sz w:val="18"/>
                <w:szCs w:val="18"/>
              </w:rPr>
            </w:pPr>
            <w:r w:rsidRPr="0016203F">
              <w:rPr>
                <w:rFonts w:ascii="Tahoma" w:hAnsi="Tahoma" w:cs="Tahoma"/>
                <w:color w:val="595959"/>
                <w:sz w:val="20"/>
                <w:szCs w:val="20"/>
              </w:rPr>
              <w:t>General government</w:t>
            </w:r>
          </w:p>
        </w:tc>
        <w:tc>
          <w:tcPr>
            <w:tcW w:w="1150" w:type="dxa"/>
            <w:tcBorders>
              <w:top w:val="nil"/>
              <w:left w:val="nil"/>
              <w:bottom w:val="nil"/>
              <w:right w:val="nil"/>
            </w:tcBorders>
            <w:shd w:val="clear" w:color="auto" w:fill="auto"/>
            <w:vAlign w:val="center"/>
          </w:tcPr>
          <w:p w14:paraId="5ABF4F22" w14:textId="26861C77"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7,739</w:t>
            </w:r>
          </w:p>
        </w:tc>
        <w:tc>
          <w:tcPr>
            <w:tcW w:w="1150" w:type="dxa"/>
            <w:tcBorders>
              <w:top w:val="nil"/>
              <w:left w:val="nil"/>
              <w:bottom w:val="nil"/>
              <w:right w:val="nil"/>
            </w:tcBorders>
            <w:shd w:val="clear" w:color="auto" w:fill="auto"/>
            <w:vAlign w:val="center"/>
          </w:tcPr>
          <w:p w14:paraId="784BBE83" w14:textId="268C3137"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7,951</w:t>
            </w:r>
          </w:p>
        </w:tc>
        <w:tc>
          <w:tcPr>
            <w:tcW w:w="1149" w:type="dxa"/>
            <w:tcBorders>
              <w:top w:val="nil"/>
              <w:left w:val="nil"/>
              <w:bottom w:val="nil"/>
              <w:right w:val="nil"/>
            </w:tcBorders>
            <w:shd w:val="clear" w:color="auto" w:fill="auto"/>
            <w:vAlign w:val="center"/>
          </w:tcPr>
          <w:p w14:paraId="0CD8AEC4" w14:textId="65FAFAE9"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7,962</w:t>
            </w:r>
          </w:p>
        </w:tc>
        <w:tc>
          <w:tcPr>
            <w:tcW w:w="1149" w:type="dxa"/>
            <w:tcBorders>
              <w:top w:val="nil"/>
              <w:left w:val="nil"/>
              <w:bottom w:val="nil"/>
              <w:right w:val="nil"/>
            </w:tcBorders>
            <w:shd w:val="clear" w:color="auto" w:fill="auto"/>
            <w:vAlign w:val="center"/>
          </w:tcPr>
          <w:p w14:paraId="6FB53C63" w14:textId="793136AD"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7,756</w:t>
            </w:r>
          </w:p>
        </w:tc>
        <w:tc>
          <w:tcPr>
            <w:tcW w:w="1149" w:type="dxa"/>
            <w:tcBorders>
              <w:top w:val="nil"/>
              <w:left w:val="nil"/>
              <w:bottom w:val="nil"/>
              <w:right w:val="nil"/>
            </w:tcBorders>
            <w:shd w:val="clear" w:color="auto" w:fill="auto"/>
            <w:vAlign w:val="center"/>
          </w:tcPr>
          <w:p w14:paraId="16DAA218" w14:textId="046C9449"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7,818</w:t>
            </w:r>
          </w:p>
        </w:tc>
        <w:tc>
          <w:tcPr>
            <w:tcW w:w="1149" w:type="dxa"/>
            <w:tcBorders>
              <w:top w:val="nil"/>
              <w:left w:val="nil"/>
              <w:bottom w:val="nil"/>
              <w:right w:val="nil"/>
            </w:tcBorders>
            <w:shd w:val="clear" w:color="auto" w:fill="auto"/>
            <w:vAlign w:val="center"/>
          </w:tcPr>
          <w:p w14:paraId="5C893D92" w14:textId="0448AA42"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7,846</w:t>
            </w:r>
          </w:p>
        </w:tc>
        <w:tc>
          <w:tcPr>
            <w:tcW w:w="1149" w:type="dxa"/>
            <w:tcBorders>
              <w:top w:val="nil"/>
              <w:left w:val="nil"/>
              <w:bottom w:val="nil"/>
              <w:right w:val="nil"/>
            </w:tcBorders>
            <w:shd w:val="clear" w:color="auto" w:fill="auto"/>
            <w:vAlign w:val="center"/>
          </w:tcPr>
          <w:p w14:paraId="180BF57D" w14:textId="27FE69C7"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7,785</w:t>
            </w:r>
          </w:p>
        </w:tc>
        <w:tc>
          <w:tcPr>
            <w:tcW w:w="1149" w:type="dxa"/>
            <w:tcBorders>
              <w:top w:val="nil"/>
              <w:left w:val="nil"/>
              <w:bottom w:val="nil"/>
              <w:right w:val="nil"/>
            </w:tcBorders>
            <w:shd w:val="clear" w:color="auto" w:fill="auto"/>
            <w:vAlign w:val="center"/>
          </w:tcPr>
          <w:p w14:paraId="1DD58205" w14:textId="647D0D76"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7,763</w:t>
            </w:r>
          </w:p>
        </w:tc>
      </w:tr>
      <w:tr w:rsidR="00691911" w:rsidRPr="00A440DD" w14:paraId="5B52CAAC" w14:textId="77777777" w:rsidTr="00691911">
        <w:trPr>
          <w:trHeight w:val="144"/>
        </w:trPr>
        <w:tc>
          <w:tcPr>
            <w:tcW w:w="1696" w:type="dxa"/>
            <w:shd w:val="clear" w:color="auto" w:fill="auto"/>
            <w:noWrap/>
            <w:vAlign w:val="center"/>
          </w:tcPr>
          <w:p w14:paraId="7DF116A4" w14:textId="06A50856" w:rsidR="00691911" w:rsidRPr="00B2550C" w:rsidRDefault="00691911" w:rsidP="00691911">
            <w:pPr>
              <w:rPr>
                <w:rFonts w:ascii="Arial" w:hAnsi="Arial"/>
                <w:color w:val="595959"/>
                <w:sz w:val="18"/>
                <w:szCs w:val="18"/>
              </w:rPr>
            </w:pPr>
            <w:r w:rsidRPr="0016203F">
              <w:rPr>
                <w:rFonts w:ascii="Tahoma" w:hAnsi="Tahoma" w:cs="Tahoma"/>
                <w:color w:val="595959"/>
                <w:sz w:val="20"/>
                <w:szCs w:val="20"/>
              </w:rPr>
              <w:t>Households</w:t>
            </w:r>
          </w:p>
        </w:tc>
        <w:tc>
          <w:tcPr>
            <w:tcW w:w="1150" w:type="dxa"/>
            <w:tcBorders>
              <w:top w:val="nil"/>
              <w:left w:val="nil"/>
              <w:bottom w:val="nil"/>
              <w:right w:val="nil"/>
            </w:tcBorders>
            <w:shd w:val="clear" w:color="auto" w:fill="auto"/>
            <w:vAlign w:val="center"/>
          </w:tcPr>
          <w:p w14:paraId="24FE941B" w14:textId="5BD68B45"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995</w:t>
            </w:r>
          </w:p>
        </w:tc>
        <w:tc>
          <w:tcPr>
            <w:tcW w:w="1150" w:type="dxa"/>
            <w:tcBorders>
              <w:top w:val="nil"/>
              <w:left w:val="nil"/>
              <w:bottom w:val="nil"/>
              <w:right w:val="nil"/>
            </w:tcBorders>
            <w:shd w:val="clear" w:color="auto" w:fill="auto"/>
            <w:vAlign w:val="center"/>
          </w:tcPr>
          <w:p w14:paraId="55849378" w14:textId="1B074F59"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1,013</w:t>
            </w:r>
          </w:p>
        </w:tc>
        <w:tc>
          <w:tcPr>
            <w:tcW w:w="1149" w:type="dxa"/>
            <w:tcBorders>
              <w:top w:val="nil"/>
              <w:left w:val="nil"/>
              <w:bottom w:val="nil"/>
              <w:right w:val="nil"/>
            </w:tcBorders>
            <w:shd w:val="clear" w:color="auto" w:fill="auto"/>
            <w:vAlign w:val="center"/>
          </w:tcPr>
          <w:p w14:paraId="5A1A3D41" w14:textId="6428F347"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1,031</w:t>
            </w:r>
          </w:p>
        </w:tc>
        <w:tc>
          <w:tcPr>
            <w:tcW w:w="1149" w:type="dxa"/>
            <w:tcBorders>
              <w:top w:val="nil"/>
              <w:left w:val="nil"/>
              <w:bottom w:val="nil"/>
              <w:right w:val="nil"/>
            </w:tcBorders>
            <w:shd w:val="clear" w:color="auto" w:fill="auto"/>
            <w:vAlign w:val="center"/>
          </w:tcPr>
          <w:p w14:paraId="3BACDE93" w14:textId="1E6A0544"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1,043</w:t>
            </w:r>
          </w:p>
        </w:tc>
        <w:tc>
          <w:tcPr>
            <w:tcW w:w="1149" w:type="dxa"/>
            <w:tcBorders>
              <w:top w:val="nil"/>
              <w:left w:val="nil"/>
              <w:bottom w:val="nil"/>
              <w:right w:val="nil"/>
            </w:tcBorders>
            <w:shd w:val="clear" w:color="auto" w:fill="auto"/>
            <w:vAlign w:val="center"/>
          </w:tcPr>
          <w:p w14:paraId="71E37FD2" w14:textId="3DB4EEA5"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1,051</w:t>
            </w:r>
          </w:p>
        </w:tc>
        <w:tc>
          <w:tcPr>
            <w:tcW w:w="1149" w:type="dxa"/>
            <w:tcBorders>
              <w:top w:val="nil"/>
              <w:left w:val="nil"/>
              <w:bottom w:val="nil"/>
              <w:right w:val="nil"/>
            </w:tcBorders>
            <w:shd w:val="clear" w:color="auto" w:fill="auto"/>
            <w:vAlign w:val="center"/>
          </w:tcPr>
          <w:p w14:paraId="3FAB9400" w14:textId="2545655F"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1,057</w:t>
            </w:r>
          </w:p>
        </w:tc>
        <w:tc>
          <w:tcPr>
            <w:tcW w:w="1149" w:type="dxa"/>
            <w:tcBorders>
              <w:top w:val="nil"/>
              <w:left w:val="nil"/>
              <w:bottom w:val="nil"/>
              <w:right w:val="nil"/>
            </w:tcBorders>
            <w:shd w:val="clear" w:color="auto" w:fill="auto"/>
            <w:vAlign w:val="center"/>
          </w:tcPr>
          <w:p w14:paraId="34598F74" w14:textId="51A1CC1E"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1,063</w:t>
            </w:r>
          </w:p>
        </w:tc>
        <w:tc>
          <w:tcPr>
            <w:tcW w:w="1149" w:type="dxa"/>
            <w:tcBorders>
              <w:top w:val="nil"/>
              <w:left w:val="nil"/>
              <w:bottom w:val="nil"/>
              <w:right w:val="nil"/>
            </w:tcBorders>
            <w:shd w:val="clear" w:color="auto" w:fill="auto"/>
            <w:vAlign w:val="center"/>
          </w:tcPr>
          <w:p w14:paraId="6AE12B9B" w14:textId="2C7A58C9" w:rsidR="00691911" w:rsidRPr="00D17672" w:rsidRDefault="00691911" w:rsidP="00691911">
            <w:pPr>
              <w:jc w:val="right"/>
              <w:rPr>
                <w:rFonts w:ascii="Tahoma" w:hAnsi="Tahoma" w:cs="Tahoma"/>
                <w:color w:val="595959"/>
                <w:sz w:val="18"/>
                <w:szCs w:val="18"/>
              </w:rPr>
            </w:pPr>
            <w:r>
              <w:rPr>
                <w:rFonts w:ascii="Tahoma" w:hAnsi="Tahoma" w:cs="Tahoma"/>
                <w:color w:val="595959"/>
                <w:sz w:val="20"/>
                <w:szCs w:val="20"/>
              </w:rPr>
              <w:t>1,075</w:t>
            </w:r>
          </w:p>
        </w:tc>
      </w:tr>
      <w:tr w:rsidR="00691911" w:rsidRPr="00D0174C" w14:paraId="1302CFD4" w14:textId="77777777" w:rsidTr="00691911">
        <w:trPr>
          <w:trHeight w:val="129"/>
        </w:trPr>
        <w:tc>
          <w:tcPr>
            <w:tcW w:w="1696" w:type="dxa"/>
            <w:tcBorders>
              <w:bottom w:val="single" w:sz="4" w:space="0" w:color="D6A461" w:themeColor="text2"/>
            </w:tcBorders>
            <w:shd w:val="clear" w:color="auto" w:fill="D9D9D9"/>
            <w:noWrap/>
            <w:vAlign w:val="center"/>
            <w:hideMark/>
          </w:tcPr>
          <w:p w14:paraId="123621F2" w14:textId="77777777" w:rsidR="00691911" w:rsidRPr="00B2550C" w:rsidRDefault="00691911" w:rsidP="00691911">
            <w:pPr>
              <w:spacing w:after="0" w:line="240" w:lineRule="auto"/>
              <w:rPr>
                <w:rFonts w:ascii="Arial" w:hAnsi="Arial"/>
                <w:b/>
                <w:bCs/>
                <w:color w:val="595959"/>
                <w:sz w:val="18"/>
                <w:szCs w:val="18"/>
              </w:rPr>
            </w:pPr>
            <w:r w:rsidRPr="00B2550C">
              <w:rPr>
                <w:rFonts w:ascii="Arial" w:hAnsi="Arial"/>
                <w:b/>
                <w:bCs/>
                <w:color w:val="595959"/>
                <w:sz w:val="18"/>
                <w:szCs w:val="18"/>
              </w:rPr>
              <w:t>GDP</w:t>
            </w:r>
          </w:p>
        </w:tc>
        <w:tc>
          <w:tcPr>
            <w:tcW w:w="1150" w:type="dxa"/>
            <w:tcBorders>
              <w:top w:val="nil"/>
              <w:left w:val="nil"/>
              <w:bottom w:val="single" w:sz="4" w:space="0" w:color="D6A461"/>
              <w:right w:val="nil"/>
            </w:tcBorders>
            <w:shd w:val="clear" w:color="000000" w:fill="D9D9D9"/>
            <w:vAlign w:val="center"/>
          </w:tcPr>
          <w:p w14:paraId="41C10540" w14:textId="466CE2D4" w:rsidR="00691911" w:rsidRPr="0021485C" w:rsidRDefault="00691911" w:rsidP="00691911">
            <w:pPr>
              <w:bidi/>
              <w:rPr>
                <w:rFonts w:ascii="Tahoma" w:hAnsi="Tahoma" w:cs="Tahoma"/>
                <w:b/>
                <w:bCs/>
                <w:color w:val="595959"/>
                <w:sz w:val="18"/>
                <w:szCs w:val="18"/>
              </w:rPr>
            </w:pPr>
            <w:r>
              <w:rPr>
                <w:rFonts w:ascii="Tahoma" w:hAnsi="Tahoma" w:cs="Tahoma"/>
                <w:b/>
                <w:bCs/>
                <w:color w:val="595959"/>
                <w:sz w:val="20"/>
                <w:szCs w:val="20"/>
              </w:rPr>
              <w:t>195,177</w:t>
            </w:r>
          </w:p>
        </w:tc>
        <w:tc>
          <w:tcPr>
            <w:tcW w:w="1150" w:type="dxa"/>
            <w:tcBorders>
              <w:top w:val="nil"/>
              <w:left w:val="nil"/>
              <w:bottom w:val="single" w:sz="4" w:space="0" w:color="D6A461"/>
              <w:right w:val="nil"/>
            </w:tcBorders>
            <w:shd w:val="clear" w:color="000000" w:fill="D9D9D9"/>
            <w:vAlign w:val="center"/>
          </w:tcPr>
          <w:p w14:paraId="24F334E7" w14:textId="653D0618" w:rsidR="00691911" w:rsidRPr="0021485C" w:rsidRDefault="00691911" w:rsidP="00691911">
            <w:pPr>
              <w:bidi/>
              <w:rPr>
                <w:rFonts w:ascii="Tahoma" w:hAnsi="Tahoma" w:cs="Tahoma"/>
                <w:b/>
                <w:bCs/>
                <w:color w:val="595959"/>
                <w:sz w:val="18"/>
                <w:szCs w:val="18"/>
              </w:rPr>
            </w:pPr>
            <w:r>
              <w:rPr>
                <w:rFonts w:ascii="Tahoma" w:hAnsi="Tahoma" w:cs="Tahoma"/>
                <w:b/>
                <w:bCs/>
                <w:color w:val="595959"/>
                <w:sz w:val="20"/>
                <w:szCs w:val="20"/>
              </w:rPr>
              <w:t>195,233</w:t>
            </w:r>
          </w:p>
        </w:tc>
        <w:tc>
          <w:tcPr>
            <w:tcW w:w="1149" w:type="dxa"/>
            <w:tcBorders>
              <w:top w:val="nil"/>
              <w:left w:val="nil"/>
              <w:bottom w:val="single" w:sz="4" w:space="0" w:color="D6A461"/>
              <w:right w:val="nil"/>
            </w:tcBorders>
            <w:shd w:val="clear" w:color="000000" w:fill="D9D9D9"/>
            <w:vAlign w:val="center"/>
          </w:tcPr>
          <w:p w14:paraId="214154CA" w14:textId="65709ED8" w:rsidR="00691911" w:rsidRPr="0021485C" w:rsidRDefault="00691911" w:rsidP="00691911">
            <w:pPr>
              <w:bidi/>
              <w:rPr>
                <w:rFonts w:ascii="Tahoma" w:hAnsi="Tahoma" w:cs="Tahoma"/>
                <w:b/>
                <w:bCs/>
                <w:color w:val="595959"/>
                <w:sz w:val="18"/>
                <w:szCs w:val="18"/>
              </w:rPr>
            </w:pPr>
            <w:r>
              <w:rPr>
                <w:rFonts w:ascii="Tahoma" w:hAnsi="Tahoma" w:cs="Tahoma"/>
                <w:b/>
                <w:bCs/>
                <w:color w:val="595959"/>
                <w:sz w:val="20"/>
                <w:szCs w:val="20"/>
              </w:rPr>
              <w:t>195,939</w:t>
            </w:r>
          </w:p>
        </w:tc>
        <w:tc>
          <w:tcPr>
            <w:tcW w:w="1149" w:type="dxa"/>
            <w:tcBorders>
              <w:top w:val="nil"/>
              <w:left w:val="nil"/>
              <w:bottom w:val="single" w:sz="4" w:space="0" w:color="D6A461"/>
              <w:right w:val="nil"/>
            </w:tcBorders>
            <w:shd w:val="clear" w:color="000000" w:fill="D9D9D9"/>
            <w:vAlign w:val="center"/>
          </w:tcPr>
          <w:p w14:paraId="625E9F2D" w14:textId="5EE1F79C" w:rsidR="00691911" w:rsidRPr="0021485C" w:rsidRDefault="00691911" w:rsidP="00691911">
            <w:pPr>
              <w:bidi/>
              <w:rPr>
                <w:rFonts w:ascii="Tahoma" w:hAnsi="Tahoma" w:cs="Tahoma"/>
                <w:b/>
                <w:bCs/>
                <w:color w:val="595959"/>
                <w:sz w:val="18"/>
                <w:szCs w:val="18"/>
              </w:rPr>
            </w:pPr>
            <w:r>
              <w:rPr>
                <w:rFonts w:ascii="Tahoma" w:hAnsi="Tahoma" w:cs="Tahoma"/>
                <w:b/>
                <w:bCs/>
                <w:color w:val="595959"/>
                <w:sz w:val="20"/>
                <w:szCs w:val="20"/>
              </w:rPr>
              <w:t>195,991</w:t>
            </w:r>
          </w:p>
        </w:tc>
        <w:tc>
          <w:tcPr>
            <w:tcW w:w="1149" w:type="dxa"/>
            <w:tcBorders>
              <w:top w:val="nil"/>
              <w:left w:val="nil"/>
              <w:bottom w:val="single" w:sz="4" w:space="0" w:color="D6A461"/>
              <w:right w:val="nil"/>
            </w:tcBorders>
            <w:shd w:val="clear" w:color="000000" w:fill="D9D9D9"/>
            <w:vAlign w:val="center"/>
          </w:tcPr>
          <w:p w14:paraId="630D5A5C" w14:textId="74242ED4" w:rsidR="00691911" w:rsidRPr="0021485C" w:rsidRDefault="00691911" w:rsidP="00691911">
            <w:pPr>
              <w:bidi/>
              <w:rPr>
                <w:rFonts w:ascii="Tahoma" w:hAnsi="Tahoma" w:cs="Tahoma"/>
                <w:b/>
                <w:bCs/>
                <w:color w:val="595959"/>
                <w:sz w:val="18"/>
                <w:szCs w:val="18"/>
              </w:rPr>
            </w:pPr>
            <w:r>
              <w:rPr>
                <w:rFonts w:ascii="Tahoma" w:hAnsi="Tahoma" w:cs="Tahoma"/>
                <w:b/>
                <w:bCs/>
                <w:color w:val="595959"/>
                <w:sz w:val="20"/>
                <w:szCs w:val="20"/>
              </w:rPr>
              <w:t>199,342</w:t>
            </w:r>
          </w:p>
        </w:tc>
        <w:tc>
          <w:tcPr>
            <w:tcW w:w="1149" w:type="dxa"/>
            <w:tcBorders>
              <w:top w:val="nil"/>
              <w:left w:val="nil"/>
              <w:bottom w:val="single" w:sz="4" w:space="0" w:color="D6A461"/>
              <w:right w:val="nil"/>
            </w:tcBorders>
            <w:shd w:val="clear" w:color="000000" w:fill="D9D9D9"/>
            <w:vAlign w:val="center"/>
          </w:tcPr>
          <w:p w14:paraId="12507389" w14:textId="54F287C0" w:rsidR="00691911" w:rsidRPr="0021485C" w:rsidRDefault="00691911" w:rsidP="00691911">
            <w:pPr>
              <w:bidi/>
              <w:rPr>
                <w:rFonts w:ascii="Tahoma" w:hAnsi="Tahoma" w:cs="Tahoma"/>
                <w:b/>
                <w:bCs/>
                <w:color w:val="595959"/>
                <w:sz w:val="18"/>
                <w:szCs w:val="18"/>
              </w:rPr>
            </w:pPr>
            <w:r>
              <w:rPr>
                <w:rFonts w:ascii="Tahoma" w:hAnsi="Tahoma" w:cs="Tahoma"/>
                <w:b/>
                <w:bCs/>
                <w:color w:val="595959"/>
                <w:sz w:val="20"/>
                <w:szCs w:val="20"/>
              </w:rPr>
              <w:t>198,759</w:t>
            </w:r>
          </w:p>
        </w:tc>
        <w:tc>
          <w:tcPr>
            <w:tcW w:w="1149" w:type="dxa"/>
            <w:tcBorders>
              <w:top w:val="nil"/>
              <w:left w:val="nil"/>
              <w:bottom w:val="single" w:sz="4" w:space="0" w:color="D6A461"/>
              <w:right w:val="nil"/>
            </w:tcBorders>
            <w:shd w:val="clear" w:color="000000" w:fill="D9D9D9"/>
            <w:vAlign w:val="center"/>
          </w:tcPr>
          <w:p w14:paraId="336D08C4" w14:textId="1FB6D73F" w:rsidR="00691911" w:rsidRPr="0021485C" w:rsidRDefault="00691911" w:rsidP="00691911">
            <w:pPr>
              <w:bidi/>
              <w:rPr>
                <w:rFonts w:ascii="Tahoma" w:hAnsi="Tahoma" w:cs="Tahoma"/>
                <w:b/>
                <w:bCs/>
                <w:color w:val="595959"/>
                <w:sz w:val="18"/>
                <w:szCs w:val="18"/>
              </w:rPr>
            </w:pPr>
            <w:r>
              <w:rPr>
                <w:rFonts w:ascii="Tahoma" w:hAnsi="Tahoma" w:cs="Tahoma"/>
                <w:b/>
                <w:bCs/>
                <w:color w:val="595959"/>
                <w:sz w:val="20"/>
                <w:szCs w:val="20"/>
              </w:rPr>
              <w:t>203,186</w:t>
            </w:r>
          </w:p>
        </w:tc>
        <w:tc>
          <w:tcPr>
            <w:tcW w:w="1149" w:type="dxa"/>
            <w:tcBorders>
              <w:top w:val="nil"/>
              <w:left w:val="nil"/>
              <w:bottom w:val="single" w:sz="4" w:space="0" w:color="D6A461"/>
              <w:right w:val="nil"/>
            </w:tcBorders>
            <w:shd w:val="clear" w:color="000000" w:fill="D9D9D9"/>
            <w:vAlign w:val="center"/>
          </w:tcPr>
          <w:p w14:paraId="78F6114E" w14:textId="6CACE697" w:rsidR="00691911" w:rsidRPr="0021485C" w:rsidRDefault="00691911" w:rsidP="00691911">
            <w:pPr>
              <w:bidi/>
              <w:rPr>
                <w:rFonts w:ascii="Tahoma" w:hAnsi="Tahoma" w:cs="Tahoma"/>
                <w:b/>
                <w:bCs/>
                <w:color w:val="595959"/>
                <w:sz w:val="18"/>
                <w:szCs w:val="18"/>
              </w:rPr>
            </w:pPr>
            <w:r>
              <w:rPr>
                <w:rFonts w:ascii="Tahoma" w:hAnsi="Tahoma" w:cs="Tahoma"/>
                <w:b/>
                <w:bCs/>
                <w:color w:val="595959"/>
                <w:sz w:val="20"/>
                <w:szCs w:val="20"/>
              </w:rPr>
              <w:t>207,192</w:t>
            </w:r>
          </w:p>
        </w:tc>
      </w:tr>
    </w:tbl>
    <w:p w14:paraId="6DEBC078" w14:textId="77777777" w:rsidR="00117AE3" w:rsidRPr="00B2550C" w:rsidRDefault="00117AE3" w:rsidP="00117AE3">
      <w:pPr>
        <w:autoSpaceDE w:val="0"/>
        <w:autoSpaceDN w:val="0"/>
        <w:adjustRightInd w:val="0"/>
        <w:spacing w:after="0" w:line="240" w:lineRule="auto"/>
        <w:contextualSpacing/>
        <w:rPr>
          <w:rFonts w:ascii="Arial" w:hAnsi="Arial"/>
          <w:b/>
          <w:bCs/>
          <w:color w:val="595959"/>
          <w:sz w:val="20"/>
          <w:szCs w:val="20"/>
        </w:rPr>
      </w:pPr>
    </w:p>
    <w:p w14:paraId="0843AE3D" w14:textId="77777777" w:rsidR="00117AE3" w:rsidRPr="00757155" w:rsidRDefault="00117AE3" w:rsidP="00917809">
      <w:pPr>
        <w:pStyle w:val="EcoSourceNote"/>
      </w:pPr>
      <w:r w:rsidRPr="00757155">
        <w:t>Source: Statistics Centre - Abu Dhabi</w:t>
      </w:r>
    </w:p>
    <w:p w14:paraId="27800A57" w14:textId="77777777" w:rsidR="00117AE3" w:rsidRPr="00757155" w:rsidRDefault="00117AE3" w:rsidP="00917809">
      <w:pPr>
        <w:pStyle w:val="EcoTableChartNotes"/>
      </w:pPr>
      <w:r w:rsidRPr="00757155">
        <w:t>*Preliminary estimates</w:t>
      </w:r>
    </w:p>
    <w:p w14:paraId="76900EEF" w14:textId="77777777" w:rsidR="00117AE3" w:rsidRDefault="00117AE3" w:rsidP="00117AE3">
      <w:pPr>
        <w:autoSpaceDE w:val="0"/>
        <w:autoSpaceDN w:val="0"/>
        <w:adjustRightInd w:val="0"/>
        <w:spacing w:after="0" w:line="240" w:lineRule="auto"/>
        <w:contextualSpacing/>
        <w:rPr>
          <w:rFonts w:ascii="Arial" w:eastAsia="Calibri" w:hAnsi="Arial"/>
          <w:b/>
          <w:bCs/>
          <w:color w:val="595959"/>
          <w:sz w:val="20"/>
          <w:szCs w:val="20"/>
          <w:highlight w:val="yellow"/>
        </w:rPr>
      </w:pPr>
    </w:p>
    <w:p w14:paraId="4914F283" w14:textId="77777777" w:rsidR="00117AE3" w:rsidRPr="00B2550C" w:rsidRDefault="00117AE3" w:rsidP="00117AE3">
      <w:pPr>
        <w:tabs>
          <w:tab w:val="left" w:pos="992"/>
        </w:tabs>
        <w:autoSpaceDE w:val="0"/>
        <w:autoSpaceDN w:val="0"/>
        <w:adjustRightInd w:val="0"/>
        <w:spacing w:after="0" w:line="240" w:lineRule="auto"/>
        <w:contextualSpacing/>
        <w:rPr>
          <w:rFonts w:ascii="Arial" w:eastAsia="Calibri" w:hAnsi="Arial"/>
          <w:b/>
          <w:bCs/>
          <w:color w:val="595959"/>
          <w:sz w:val="20"/>
          <w:szCs w:val="20"/>
          <w:highlight w:val="yellow"/>
        </w:rPr>
      </w:pPr>
    </w:p>
    <w:p w14:paraId="43A8796F" w14:textId="24EC9D99" w:rsidR="00117AE3" w:rsidRPr="00B2550C" w:rsidRDefault="00117AE3" w:rsidP="00802A5F">
      <w:pPr>
        <w:autoSpaceDE w:val="0"/>
        <w:autoSpaceDN w:val="0"/>
        <w:adjustRightInd w:val="0"/>
        <w:spacing w:after="0" w:line="240" w:lineRule="auto"/>
        <w:ind w:hanging="900"/>
        <w:contextualSpacing/>
        <w:rPr>
          <w:rFonts w:ascii="Arial" w:eastAsia="Calibri" w:hAnsi="Arial"/>
          <w:b/>
          <w:color w:val="595959"/>
        </w:rPr>
      </w:pPr>
      <w:r w:rsidRPr="00263BBB">
        <w:rPr>
          <w:rFonts w:ascii="Arial" w:eastAsia="Calibri" w:hAnsi="Arial"/>
          <w:b/>
          <w:color w:val="D6A461" w:themeColor="text2"/>
        </w:rPr>
        <w:t xml:space="preserve">Table </w:t>
      </w:r>
      <w:r w:rsidR="00802A5F">
        <w:rPr>
          <w:rFonts w:ascii="Arial" w:eastAsia="Calibri" w:hAnsi="Arial"/>
          <w:b/>
          <w:color w:val="D6A461" w:themeColor="text2"/>
        </w:rPr>
        <w:t>7</w:t>
      </w:r>
      <w:r w:rsidRPr="00263BBB">
        <w:rPr>
          <w:rFonts w:ascii="Arial" w:eastAsia="Calibri" w:hAnsi="Arial"/>
          <w:b/>
          <w:color w:val="D6A461" w:themeColor="text2"/>
        </w:rPr>
        <w:t xml:space="preserve">: </w:t>
      </w:r>
      <w:r w:rsidRPr="00B2550C">
        <w:rPr>
          <w:rFonts w:ascii="Arial" w:eastAsia="Calibri" w:hAnsi="Arial"/>
          <w:b/>
          <w:color w:val="595959"/>
        </w:rPr>
        <w:t>Percentage change in Gross Domestic Product by sectors at current prices</w:t>
      </w:r>
      <w:r w:rsidRPr="00263BBB">
        <w:rPr>
          <w:rFonts w:ascii="Arial" w:eastAsia="Calibri" w:hAnsi="Arial"/>
          <w:b/>
          <w:color w:val="C00000"/>
        </w:rPr>
        <w:t>*</w:t>
      </w:r>
    </w:p>
    <w:p w14:paraId="31477C1B" w14:textId="77777777" w:rsidR="00117AE3" w:rsidRPr="00B2550C" w:rsidRDefault="00117AE3" w:rsidP="00713797">
      <w:pPr>
        <w:spacing w:after="0" w:line="240" w:lineRule="auto"/>
        <w:ind w:left="-576" w:hanging="774"/>
        <w:rPr>
          <w:rFonts w:ascii="Arial" w:hAnsi="Arial"/>
          <w:color w:val="595959"/>
          <w:sz w:val="20"/>
          <w:szCs w:val="20"/>
        </w:rPr>
      </w:pPr>
      <w:r w:rsidRPr="00B2550C">
        <w:rPr>
          <w:rFonts w:ascii="Arial" w:hAnsi="Arial"/>
          <w:color w:val="595959"/>
          <w:sz w:val="20"/>
          <w:szCs w:val="20"/>
        </w:rPr>
        <w:t xml:space="preserve">         Percentage change from the same quarter of the previous year</w:t>
      </w:r>
    </w:p>
    <w:tbl>
      <w:tblPr>
        <w:tblW w:w="10858" w:type="dxa"/>
        <w:tblInd w:w="-810" w:type="dxa"/>
        <w:tblLook w:val="04A0" w:firstRow="1" w:lastRow="0" w:firstColumn="1" w:lastColumn="0" w:noHBand="0" w:noVBand="1"/>
      </w:tblPr>
      <w:tblGrid>
        <w:gridCol w:w="4434"/>
        <w:gridCol w:w="1719"/>
        <w:gridCol w:w="1176"/>
        <w:gridCol w:w="1267"/>
        <w:gridCol w:w="1176"/>
        <w:gridCol w:w="1086"/>
      </w:tblGrid>
      <w:tr w:rsidR="00691911" w:rsidRPr="00B2550C" w14:paraId="0EA90AA1" w14:textId="77777777" w:rsidTr="00B40046">
        <w:trPr>
          <w:trHeight w:val="357"/>
        </w:trPr>
        <w:tc>
          <w:tcPr>
            <w:tcW w:w="4434" w:type="dxa"/>
            <w:shd w:val="clear" w:color="auto" w:fill="D6A461" w:themeFill="text2"/>
            <w:noWrap/>
            <w:vAlign w:val="center"/>
            <w:hideMark/>
          </w:tcPr>
          <w:p w14:paraId="1E70D70D" w14:textId="43B7D590"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Sector</w:t>
            </w:r>
            <w:r>
              <w:rPr>
                <w:rFonts w:ascii="Tahoma" w:hAnsi="Tahoma" w:cs="Tahoma"/>
                <w:b/>
                <w:bCs/>
                <w:color w:val="FFFFFF"/>
                <w:sz w:val="20"/>
                <w:szCs w:val="20"/>
              </w:rPr>
              <w:br/>
              <w:t>Seasonally adjusted</w:t>
            </w:r>
          </w:p>
        </w:tc>
        <w:tc>
          <w:tcPr>
            <w:tcW w:w="1719" w:type="dxa"/>
            <w:shd w:val="clear" w:color="auto" w:fill="D6A461" w:themeFill="text2"/>
            <w:vAlign w:val="center"/>
          </w:tcPr>
          <w:p w14:paraId="69F6CCE3" w14:textId="0CFAB931" w:rsidR="00691911" w:rsidRPr="00B2550C"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Q1 2018</w:t>
            </w:r>
          </w:p>
        </w:tc>
        <w:tc>
          <w:tcPr>
            <w:tcW w:w="1176" w:type="dxa"/>
            <w:shd w:val="clear" w:color="auto" w:fill="D6A461" w:themeFill="text2"/>
            <w:vAlign w:val="center"/>
          </w:tcPr>
          <w:p w14:paraId="3C1EFF06" w14:textId="3BF64689"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Q2 2018</w:t>
            </w:r>
          </w:p>
        </w:tc>
        <w:tc>
          <w:tcPr>
            <w:tcW w:w="1267" w:type="dxa"/>
            <w:shd w:val="clear" w:color="auto" w:fill="D6A461" w:themeFill="text2"/>
            <w:vAlign w:val="center"/>
          </w:tcPr>
          <w:p w14:paraId="0C2A6BDD" w14:textId="0BAC9A3A"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Q3 2018</w:t>
            </w:r>
          </w:p>
        </w:tc>
        <w:tc>
          <w:tcPr>
            <w:tcW w:w="1176" w:type="dxa"/>
            <w:shd w:val="clear" w:color="auto" w:fill="D6A461" w:themeFill="text2"/>
            <w:vAlign w:val="center"/>
          </w:tcPr>
          <w:p w14:paraId="5278B93A" w14:textId="1B861B16"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w:t>
            </w:r>
            <w:r>
              <w:rPr>
                <w:rFonts w:ascii="Tahoma" w:hAnsi="Tahoma" w:cs="Tahoma" w:hint="cs"/>
                <w:b/>
                <w:bCs/>
                <w:color w:val="FFFFFF"/>
                <w:sz w:val="20"/>
                <w:szCs w:val="20"/>
                <w:rtl/>
              </w:rPr>
              <w:t>4</w:t>
            </w:r>
            <w:r>
              <w:rPr>
                <w:rFonts w:ascii="Tahoma" w:hAnsi="Tahoma" w:cs="Tahoma"/>
                <w:b/>
                <w:bCs/>
                <w:color w:val="FFFFFF"/>
                <w:sz w:val="20"/>
                <w:szCs w:val="20"/>
              </w:rPr>
              <w:t xml:space="preserve"> 2018</w:t>
            </w:r>
          </w:p>
        </w:tc>
        <w:tc>
          <w:tcPr>
            <w:tcW w:w="1086" w:type="dxa"/>
            <w:shd w:val="clear" w:color="auto" w:fill="D6A461" w:themeFill="text2"/>
            <w:vAlign w:val="center"/>
          </w:tcPr>
          <w:p w14:paraId="7C66CBE5" w14:textId="74D69925" w:rsidR="00691911" w:rsidRPr="00AE2030" w:rsidRDefault="00691911" w:rsidP="00691911">
            <w:pPr>
              <w:spacing w:after="0" w:line="240" w:lineRule="auto"/>
              <w:jc w:val="right"/>
              <w:rPr>
                <w:rFonts w:ascii="Tahoma" w:hAnsi="Tahoma" w:cs="Tahoma"/>
                <w:b/>
                <w:bCs/>
                <w:color w:val="FFFFFF"/>
                <w:sz w:val="20"/>
                <w:szCs w:val="20"/>
              </w:rPr>
            </w:pPr>
            <w:r>
              <w:rPr>
                <w:rFonts w:ascii="Tahoma" w:hAnsi="Tahoma" w:cs="Tahoma"/>
                <w:b/>
                <w:bCs/>
                <w:color w:val="FFFFFF"/>
                <w:sz w:val="20"/>
                <w:szCs w:val="20"/>
              </w:rPr>
              <w:t>Q1 2019</w:t>
            </w:r>
          </w:p>
        </w:tc>
      </w:tr>
      <w:tr w:rsidR="00691911" w:rsidRPr="002F27C2" w14:paraId="7BD02DEB" w14:textId="77777777" w:rsidTr="00066628">
        <w:trPr>
          <w:trHeight w:hRule="exact" w:val="445"/>
        </w:trPr>
        <w:tc>
          <w:tcPr>
            <w:tcW w:w="4434" w:type="dxa"/>
            <w:shd w:val="clear" w:color="auto" w:fill="auto"/>
            <w:noWrap/>
            <w:vAlign w:val="center"/>
          </w:tcPr>
          <w:p w14:paraId="06096E7A" w14:textId="55A952D6"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 xml:space="preserve">Non-financial </w:t>
            </w:r>
          </w:p>
        </w:tc>
        <w:tc>
          <w:tcPr>
            <w:tcW w:w="1719" w:type="dxa"/>
            <w:tcBorders>
              <w:top w:val="nil"/>
              <w:left w:val="nil"/>
              <w:bottom w:val="nil"/>
              <w:right w:val="nil"/>
            </w:tcBorders>
            <w:shd w:val="clear" w:color="auto" w:fill="auto"/>
            <w:vAlign w:val="center"/>
          </w:tcPr>
          <w:p w14:paraId="32DFE356" w14:textId="1746F220"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10.3</w:t>
            </w:r>
          </w:p>
        </w:tc>
        <w:tc>
          <w:tcPr>
            <w:tcW w:w="1176" w:type="dxa"/>
            <w:tcBorders>
              <w:top w:val="nil"/>
              <w:left w:val="nil"/>
              <w:bottom w:val="nil"/>
              <w:right w:val="nil"/>
            </w:tcBorders>
            <w:shd w:val="clear" w:color="auto" w:fill="auto"/>
            <w:vAlign w:val="center"/>
          </w:tcPr>
          <w:p w14:paraId="522129BE" w14:textId="3F9B2800"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19.2</w:t>
            </w:r>
          </w:p>
        </w:tc>
        <w:tc>
          <w:tcPr>
            <w:tcW w:w="1267" w:type="dxa"/>
            <w:tcBorders>
              <w:top w:val="nil"/>
              <w:left w:val="nil"/>
              <w:bottom w:val="nil"/>
              <w:right w:val="nil"/>
            </w:tcBorders>
            <w:shd w:val="clear" w:color="auto" w:fill="auto"/>
            <w:vAlign w:val="center"/>
          </w:tcPr>
          <w:p w14:paraId="5D4B2D25" w14:textId="299C86FB"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21.6</w:t>
            </w:r>
          </w:p>
        </w:tc>
        <w:tc>
          <w:tcPr>
            <w:tcW w:w="1176" w:type="dxa"/>
            <w:tcBorders>
              <w:top w:val="nil"/>
              <w:left w:val="nil"/>
              <w:bottom w:val="nil"/>
              <w:right w:val="nil"/>
            </w:tcBorders>
            <w:shd w:val="clear" w:color="auto" w:fill="auto"/>
            <w:vAlign w:val="center"/>
          </w:tcPr>
          <w:p w14:paraId="280FDD74" w14:textId="2D5C1A50"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14.3</w:t>
            </w:r>
          </w:p>
        </w:tc>
        <w:tc>
          <w:tcPr>
            <w:tcW w:w="1086" w:type="dxa"/>
            <w:tcBorders>
              <w:top w:val="nil"/>
              <w:left w:val="nil"/>
              <w:bottom w:val="nil"/>
              <w:right w:val="nil"/>
            </w:tcBorders>
            <w:shd w:val="clear" w:color="auto" w:fill="auto"/>
            <w:vAlign w:val="center"/>
          </w:tcPr>
          <w:p w14:paraId="03AF6C08" w14:textId="7B67A831"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3.5</w:t>
            </w:r>
          </w:p>
        </w:tc>
      </w:tr>
      <w:tr w:rsidR="00691911" w:rsidRPr="002F27C2" w14:paraId="4DAE1AF9" w14:textId="77777777" w:rsidTr="00066628">
        <w:trPr>
          <w:trHeight w:hRule="exact" w:val="445"/>
        </w:trPr>
        <w:tc>
          <w:tcPr>
            <w:tcW w:w="4434" w:type="dxa"/>
            <w:shd w:val="clear" w:color="auto" w:fill="auto"/>
            <w:noWrap/>
            <w:vAlign w:val="center"/>
          </w:tcPr>
          <w:p w14:paraId="7C7E875B" w14:textId="5BDBBFEC"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Financial companies</w:t>
            </w:r>
          </w:p>
        </w:tc>
        <w:tc>
          <w:tcPr>
            <w:tcW w:w="1719" w:type="dxa"/>
            <w:tcBorders>
              <w:top w:val="nil"/>
              <w:left w:val="nil"/>
              <w:bottom w:val="nil"/>
              <w:right w:val="nil"/>
            </w:tcBorders>
            <w:shd w:val="clear" w:color="auto" w:fill="auto"/>
            <w:vAlign w:val="center"/>
          </w:tcPr>
          <w:p w14:paraId="1D1B98FC" w14:textId="22903937"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2.8</w:t>
            </w:r>
          </w:p>
        </w:tc>
        <w:tc>
          <w:tcPr>
            <w:tcW w:w="1176" w:type="dxa"/>
            <w:tcBorders>
              <w:top w:val="nil"/>
              <w:left w:val="nil"/>
              <w:bottom w:val="nil"/>
              <w:right w:val="nil"/>
            </w:tcBorders>
            <w:shd w:val="clear" w:color="auto" w:fill="auto"/>
            <w:vAlign w:val="center"/>
          </w:tcPr>
          <w:p w14:paraId="46C8B6D1" w14:textId="3718AB65"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13.8</w:t>
            </w:r>
          </w:p>
        </w:tc>
        <w:tc>
          <w:tcPr>
            <w:tcW w:w="1267" w:type="dxa"/>
            <w:tcBorders>
              <w:top w:val="nil"/>
              <w:left w:val="nil"/>
              <w:bottom w:val="nil"/>
              <w:right w:val="nil"/>
            </w:tcBorders>
            <w:shd w:val="clear" w:color="auto" w:fill="auto"/>
            <w:vAlign w:val="center"/>
          </w:tcPr>
          <w:p w14:paraId="1D1A3D67" w14:textId="26712330"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Pr>
              <w:t>-</w:t>
            </w:r>
            <w:r>
              <w:rPr>
                <w:rFonts w:ascii="Tahoma" w:hAnsi="Tahoma" w:cs="Tahoma"/>
                <w:color w:val="6D6E71"/>
                <w:sz w:val="20"/>
                <w:szCs w:val="20"/>
                <w:rtl/>
              </w:rPr>
              <w:t>7.5</w:t>
            </w:r>
          </w:p>
        </w:tc>
        <w:tc>
          <w:tcPr>
            <w:tcW w:w="1176" w:type="dxa"/>
            <w:tcBorders>
              <w:top w:val="nil"/>
              <w:left w:val="nil"/>
              <w:bottom w:val="nil"/>
              <w:right w:val="nil"/>
            </w:tcBorders>
            <w:shd w:val="clear" w:color="auto" w:fill="auto"/>
            <w:vAlign w:val="center"/>
          </w:tcPr>
          <w:p w14:paraId="12B26B38" w14:textId="3ABBD159"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9.0</w:t>
            </w:r>
          </w:p>
        </w:tc>
        <w:tc>
          <w:tcPr>
            <w:tcW w:w="1086" w:type="dxa"/>
            <w:tcBorders>
              <w:top w:val="nil"/>
              <w:left w:val="nil"/>
              <w:bottom w:val="nil"/>
              <w:right w:val="nil"/>
            </w:tcBorders>
            <w:shd w:val="clear" w:color="auto" w:fill="auto"/>
            <w:vAlign w:val="center"/>
          </w:tcPr>
          <w:p w14:paraId="61C7EBCE" w14:textId="391721AE" w:rsidR="00691911" w:rsidRPr="00575397" w:rsidRDefault="00691911" w:rsidP="00691911">
            <w:pPr>
              <w:jc w:val="right"/>
              <w:rPr>
                <w:rFonts w:ascii="Tahoma" w:hAnsi="Tahoma" w:cs="Tahoma"/>
                <w:color w:val="595959"/>
                <w:sz w:val="18"/>
                <w:szCs w:val="18"/>
                <w:rtl/>
              </w:rPr>
            </w:pPr>
            <w:r w:rsidRPr="00575397">
              <w:rPr>
                <w:rFonts w:ascii="Tahoma" w:hAnsi="Tahoma" w:cs="Tahoma"/>
                <w:color w:val="6D6E71"/>
                <w:sz w:val="20"/>
                <w:szCs w:val="20"/>
                <w:rtl/>
              </w:rPr>
              <w:t>0.9</w:t>
            </w:r>
          </w:p>
        </w:tc>
      </w:tr>
      <w:tr w:rsidR="00691911" w:rsidRPr="002F27C2" w14:paraId="64B83A36" w14:textId="77777777" w:rsidTr="00066628">
        <w:trPr>
          <w:trHeight w:hRule="exact" w:val="546"/>
        </w:trPr>
        <w:tc>
          <w:tcPr>
            <w:tcW w:w="4434" w:type="dxa"/>
            <w:shd w:val="clear" w:color="auto" w:fill="auto"/>
            <w:noWrap/>
            <w:vAlign w:val="center"/>
          </w:tcPr>
          <w:p w14:paraId="2B4D93D5" w14:textId="185E94F5"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General government</w:t>
            </w:r>
          </w:p>
        </w:tc>
        <w:tc>
          <w:tcPr>
            <w:tcW w:w="1719" w:type="dxa"/>
            <w:tcBorders>
              <w:top w:val="nil"/>
              <w:left w:val="nil"/>
              <w:bottom w:val="nil"/>
              <w:right w:val="nil"/>
            </w:tcBorders>
            <w:shd w:val="clear" w:color="auto" w:fill="auto"/>
            <w:vAlign w:val="center"/>
          </w:tcPr>
          <w:p w14:paraId="5A2D0FE5" w14:textId="0D3E69DE"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8.1</w:t>
            </w:r>
          </w:p>
        </w:tc>
        <w:tc>
          <w:tcPr>
            <w:tcW w:w="1176" w:type="dxa"/>
            <w:tcBorders>
              <w:top w:val="nil"/>
              <w:left w:val="nil"/>
              <w:bottom w:val="nil"/>
              <w:right w:val="nil"/>
            </w:tcBorders>
            <w:shd w:val="clear" w:color="auto" w:fill="auto"/>
            <w:vAlign w:val="center"/>
          </w:tcPr>
          <w:p w14:paraId="0DC7A2E7" w14:textId="1C487B40"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7.2</w:t>
            </w:r>
          </w:p>
        </w:tc>
        <w:tc>
          <w:tcPr>
            <w:tcW w:w="1267" w:type="dxa"/>
            <w:tcBorders>
              <w:top w:val="nil"/>
              <w:left w:val="nil"/>
              <w:bottom w:val="nil"/>
              <w:right w:val="nil"/>
            </w:tcBorders>
            <w:shd w:val="clear" w:color="auto" w:fill="auto"/>
            <w:vAlign w:val="center"/>
          </w:tcPr>
          <w:p w14:paraId="3EC1422C" w14:textId="40340C61"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8.7</w:t>
            </w:r>
          </w:p>
        </w:tc>
        <w:tc>
          <w:tcPr>
            <w:tcW w:w="1176" w:type="dxa"/>
            <w:tcBorders>
              <w:top w:val="nil"/>
              <w:left w:val="nil"/>
              <w:bottom w:val="nil"/>
              <w:right w:val="nil"/>
            </w:tcBorders>
            <w:shd w:val="clear" w:color="auto" w:fill="auto"/>
            <w:vAlign w:val="center"/>
          </w:tcPr>
          <w:p w14:paraId="17146C0D" w14:textId="4B9414C9"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1.8</w:t>
            </w:r>
          </w:p>
        </w:tc>
        <w:tc>
          <w:tcPr>
            <w:tcW w:w="1086" w:type="dxa"/>
            <w:tcBorders>
              <w:top w:val="nil"/>
              <w:left w:val="nil"/>
              <w:bottom w:val="nil"/>
              <w:right w:val="nil"/>
            </w:tcBorders>
            <w:shd w:val="clear" w:color="auto" w:fill="auto"/>
            <w:vAlign w:val="center"/>
          </w:tcPr>
          <w:p w14:paraId="0581EEF1" w14:textId="45961E81" w:rsidR="00691911" w:rsidRPr="00D17672" w:rsidRDefault="00691911" w:rsidP="00691911">
            <w:pPr>
              <w:jc w:val="right"/>
              <w:rPr>
                <w:rFonts w:ascii="Tahoma" w:hAnsi="Tahoma" w:cs="Tahoma"/>
                <w:color w:val="595959"/>
                <w:sz w:val="18"/>
                <w:szCs w:val="18"/>
                <w:rtl/>
              </w:rPr>
            </w:pPr>
            <w:r>
              <w:rPr>
                <w:rFonts w:ascii="Tahoma" w:hAnsi="Tahoma" w:cs="Tahoma"/>
                <w:color w:val="6D6E71"/>
                <w:sz w:val="20"/>
                <w:szCs w:val="20"/>
                <w:rtl/>
              </w:rPr>
              <w:t>2.6</w:t>
            </w:r>
          </w:p>
        </w:tc>
      </w:tr>
      <w:tr w:rsidR="00691911" w:rsidRPr="002F27C2" w14:paraId="6B936238" w14:textId="77777777" w:rsidTr="00066628">
        <w:trPr>
          <w:trHeight w:hRule="exact" w:val="445"/>
        </w:trPr>
        <w:tc>
          <w:tcPr>
            <w:tcW w:w="4434" w:type="dxa"/>
            <w:shd w:val="clear" w:color="auto" w:fill="auto"/>
            <w:noWrap/>
            <w:vAlign w:val="center"/>
          </w:tcPr>
          <w:p w14:paraId="0A9E1F55" w14:textId="7F8534C5"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Households</w:t>
            </w:r>
          </w:p>
        </w:tc>
        <w:tc>
          <w:tcPr>
            <w:tcW w:w="1719" w:type="dxa"/>
            <w:tcBorders>
              <w:top w:val="nil"/>
              <w:left w:val="nil"/>
              <w:bottom w:val="nil"/>
              <w:right w:val="nil"/>
            </w:tcBorders>
            <w:shd w:val="clear" w:color="auto" w:fill="auto"/>
            <w:vAlign w:val="center"/>
          </w:tcPr>
          <w:p w14:paraId="6F24C110" w14:textId="7234037C"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9.0</w:t>
            </w:r>
          </w:p>
        </w:tc>
        <w:tc>
          <w:tcPr>
            <w:tcW w:w="1176" w:type="dxa"/>
            <w:tcBorders>
              <w:top w:val="nil"/>
              <w:left w:val="nil"/>
              <w:bottom w:val="nil"/>
              <w:right w:val="nil"/>
            </w:tcBorders>
            <w:shd w:val="clear" w:color="auto" w:fill="auto"/>
            <w:vAlign w:val="center"/>
          </w:tcPr>
          <w:p w14:paraId="700F8410" w14:textId="7370285B"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8.7</w:t>
            </w:r>
          </w:p>
        </w:tc>
        <w:tc>
          <w:tcPr>
            <w:tcW w:w="1267" w:type="dxa"/>
            <w:tcBorders>
              <w:top w:val="nil"/>
              <w:left w:val="nil"/>
              <w:bottom w:val="nil"/>
              <w:right w:val="nil"/>
            </w:tcBorders>
            <w:shd w:val="clear" w:color="auto" w:fill="auto"/>
            <w:vAlign w:val="center"/>
          </w:tcPr>
          <w:p w14:paraId="1E4A4064" w14:textId="3056DD78"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8.3</w:t>
            </w:r>
          </w:p>
        </w:tc>
        <w:tc>
          <w:tcPr>
            <w:tcW w:w="1176" w:type="dxa"/>
            <w:tcBorders>
              <w:top w:val="nil"/>
              <w:left w:val="nil"/>
              <w:bottom w:val="nil"/>
              <w:right w:val="nil"/>
            </w:tcBorders>
            <w:shd w:val="clear" w:color="auto" w:fill="auto"/>
            <w:vAlign w:val="center"/>
          </w:tcPr>
          <w:p w14:paraId="2195096E" w14:textId="0176780F" w:rsidR="00691911" w:rsidRPr="00D17672" w:rsidRDefault="00691911" w:rsidP="00691911">
            <w:pPr>
              <w:jc w:val="right"/>
              <w:rPr>
                <w:rFonts w:ascii="Tahoma" w:hAnsi="Tahoma" w:cs="Tahoma"/>
                <w:color w:val="595959"/>
                <w:sz w:val="18"/>
                <w:szCs w:val="18"/>
              </w:rPr>
            </w:pPr>
            <w:r>
              <w:rPr>
                <w:rFonts w:ascii="Tahoma" w:hAnsi="Tahoma" w:cs="Tahoma"/>
                <w:color w:val="6D6E71"/>
                <w:sz w:val="20"/>
                <w:szCs w:val="20"/>
                <w:rtl/>
              </w:rPr>
              <w:t>8.0</w:t>
            </w:r>
          </w:p>
        </w:tc>
        <w:tc>
          <w:tcPr>
            <w:tcW w:w="1086" w:type="dxa"/>
            <w:tcBorders>
              <w:top w:val="nil"/>
              <w:left w:val="nil"/>
              <w:bottom w:val="nil"/>
              <w:right w:val="nil"/>
            </w:tcBorders>
            <w:shd w:val="clear" w:color="auto" w:fill="auto"/>
            <w:vAlign w:val="center"/>
          </w:tcPr>
          <w:p w14:paraId="6D979747" w14:textId="1831123A" w:rsidR="00691911" w:rsidRPr="00D17672" w:rsidRDefault="00691911" w:rsidP="00691911">
            <w:pPr>
              <w:jc w:val="right"/>
              <w:rPr>
                <w:rFonts w:ascii="Tahoma" w:hAnsi="Tahoma" w:cs="Tahoma"/>
                <w:color w:val="595959"/>
                <w:sz w:val="18"/>
                <w:szCs w:val="18"/>
                <w:rtl/>
              </w:rPr>
            </w:pPr>
            <w:r>
              <w:rPr>
                <w:rFonts w:ascii="Tahoma" w:hAnsi="Tahoma" w:cs="Tahoma"/>
                <w:color w:val="6D6E71"/>
                <w:sz w:val="20"/>
                <w:szCs w:val="20"/>
                <w:rtl/>
              </w:rPr>
              <w:t>7.8</w:t>
            </w:r>
          </w:p>
        </w:tc>
      </w:tr>
      <w:tr w:rsidR="00691911" w:rsidRPr="00422CF0" w14:paraId="7222E658" w14:textId="77777777" w:rsidTr="00066628">
        <w:trPr>
          <w:trHeight w:hRule="exact" w:val="445"/>
        </w:trPr>
        <w:tc>
          <w:tcPr>
            <w:tcW w:w="4434" w:type="dxa"/>
            <w:tcBorders>
              <w:bottom w:val="single" w:sz="4" w:space="0" w:color="D6A461" w:themeColor="text2"/>
            </w:tcBorders>
            <w:shd w:val="clear" w:color="auto" w:fill="D9D9D9"/>
            <w:noWrap/>
            <w:vAlign w:val="center"/>
            <w:hideMark/>
          </w:tcPr>
          <w:p w14:paraId="102C000C"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GDP</w:t>
            </w:r>
          </w:p>
        </w:tc>
        <w:tc>
          <w:tcPr>
            <w:tcW w:w="1719" w:type="dxa"/>
            <w:tcBorders>
              <w:top w:val="nil"/>
              <w:left w:val="nil"/>
              <w:bottom w:val="single" w:sz="4" w:space="0" w:color="D6A461"/>
              <w:right w:val="nil"/>
            </w:tcBorders>
            <w:shd w:val="clear" w:color="000000" w:fill="D9D9D9"/>
            <w:vAlign w:val="center"/>
          </w:tcPr>
          <w:p w14:paraId="030A9006" w14:textId="4E513ECF" w:rsidR="00691911" w:rsidRPr="00D17672" w:rsidRDefault="00691911" w:rsidP="00691911">
            <w:pPr>
              <w:jc w:val="right"/>
              <w:rPr>
                <w:rFonts w:ascii="Tahoma" w:hAnsi="Tahoma" w:cs="Tahoma"/>
                <w:b/>
                <w:bCs/>
                <w:color w:val="595959"/>
                <w:sz w:val="18"/>
                <w:szCs w:val="18"/>
              </w:rPr>
            </w:pPr>
            <w:r>
              <w:rPr>
                <w:rFonts w:ascii="Tahoma" w:hAnsi="Tahoma" w:cs="Tahoma"/>
                <w:b/>
                <w:bCs/>
                <w:color w:val="6D6E71"/>
                <w:sz w:val="20"/>
                <w:szCs w:val="20"/>
                <w:rtl/>
              </w:rPr>
              <w:t>9.4</w:t>
            </w:r>
          </w:p>
        </w:tc>
        <w:tc>
          <w:tcPr>
            <w:tcW w:w="1176" w:type="dxa"/>
            <w:tcBorders>
              <w:top w:val="nil"/>
              <w:left w:val="nil"/>
              <w:bottom w:val="single" w:sz="4" w:space="0" w:color="D6A461"/>
              <w:right w:val="nil"/>
            </w:tcBorders>
            <w:shd w:val="clear" w:color="000000" w:fill="D9D9D9"/>
            <w:vAlign w:val="center"/>
          </w:tcPr>
          <w:p w14:paraId="4743EA7B" w14:textId="3AD85D94" w:rsidR="00691911" w:rsidRPr="00D17672" w:rsidRDefault="00691911" w:rsidP="00691911">
            <w:pPr>
              <w:jc w:val="right"/>
              <w:rPr>
                <w:rFonts w:ascii="Tahoma" w:hAnsi="Tahoma" w:cs="Tahoma"/>
                <w:b/>
                <w:bCs/>
                <w:color w:val="595959"/>
                <w:sz w:val="18"/>
                <w:szCs w:val="18"/>
              </w:rPr>
            </w:pPr>
            <w:r>
              <w:rPr>
                <w:rFonts w:ascii="Tahoma" w:hAnsi="Tahoma" w:cs="Tahoma"/>
                <w:b/>
                <w:bCs/>
                <w:color w:val="6D6E71"/>
                <w:sz w:val="20"/>
                <w:szCs w:val="20"/>
                <w:rtl/>
              </w:rPr>
              <w:t>17.7</w:t>
            </w:r>
          </w:p>
        </w:tc>
        <w:tc>
          <w:tcPr>
            <w:tcW w:w="1267" w:type="dxa"/>
            <w:tcBorders>
              <w:top w:val="nil"/>
              <w:left w:val="nil"/>
              <w:bottom w:val="single" w:sz="4" w:space="0" w:color="D6A461"/>
              <w:right w:val="nil"/>
            </w:tcBorders>
            <w:shd w:val="clear" w:color="000000" w:fill="D9D9D9"/>
            <w:vAlign w:val="center"/>
          </w:tcPr>
          <w:p w14:paraId="13874249" w14:textId="7A74FE61" w:rsidR="00691911" w:rsidRPr="00D17672" w:rsidRDefault="00691911" w:rsidP="00691911">
            <w:pPr>
              <w:jc w:val="right"/>
              <w:rPr>
                <w:rFonts w:ascii="Tahoma" w:hAnsi="Tahoma" w:cs="Tahoma"/>
                <w:b/>
                <w:bCs/>
                <w:color w:val="595959"/>
                <w:sz w:val="18"/>
                <w:szCs w:val="18"/>
              </w:rPr>
            </w:pPr>
            <w:r>
              <w:rPr>
                <w:rFonts w:ascii="Tahoma" w:hAnsi="Tahoma" w:cs="Tahoma"/>
                <w:b/>
                <w:bCs/>
                <w:color w:val="6D6E71"/>
                <w:sz w:val="20"/>
                <w:szCs w:val="20"/>
                <w:rtl/>
              </w:rPr>
              <w:t>17.9</w:t>
            </w:r>
          </w:p>
        </w:tc>
        <w:tc>
          <w:tcPr>
            <w:tcW w:w="1176" w:type="dxa"/>
            <w:tcBorders>
              <w:top w:val="nil"/>
              <w:left w:val="nil"/>
              <w:bottom w:val="single" w:sz="4" w:space="0" w:color="D6A461"/>
              <w:right w:val="nil"/>
            </w:tcBorders>
            <w:shd w:val="clear" w:color="000000" w:fill="D9D9D9"/>
            <w:vAlign w:val="center"/>
          </w:tcPr>
          <w:p w14:paraId="4706AD95" w14:textId="0F5210C5" w:rsidR="00691911" w:rsidRPr="00D17672" w:rsidRDefault="00691911" w:rsidP="00691911">
            <w:pPr>
              <w:jc w:val="right"/>
              <w:rPr>
                <w:rFonts w:ascii="Tahoma" w:hAnsi="Tahoma" w:cs="Tahoma"/>
                <w:b/>
                <w:bCs/>
                <w:color w:val="595959"/>
                <w:sz w:val="18"/>
                <w:szCs w:val="18"/>
              </w:rPr>
            </w:pPr>
            <w:r>
              <w:rPr>
                <w:rFonts w:ascii="Tahoma" w:hAnsi="Tahoma" w:cs="Tahoma"/>
                <w:b/>
                <w:bCs/>
                <w:color w:val="6D6E71"/>
                <w:sz w:val="20"/>
                <w:szCs w:val="20"/>
                <w:rtl/>
              </w:rPr>
              <w:t>12.9</w:t>
            </w:r>
          </w:p>
        </w:tc>
        <w:tc>
          <w:tcPr>
            <w:tcW w:w="1086" w:type="dxa"/>
            <w:tcBorders>
              <w:top w:val="nil"/>
              <w:left w:val="nil"/>
              <w:bottom w:val="single" w:sz="4" w:space="0" w:color="D6A461"/>
              <w:right w:val="nil"/>
            </w:tcBorders>
            <w:shd w:val="clear" w:color="000000" w:fill="D9D9D9"/>
            <w:vAlign w:val="center"/>
          </w:tcPr>
          <w:p w14:paraId="663DF668" w14:textId="45C12055" w:rsidR="00691911" w:rsidRPr="00D17672" w:rsidRDefault="00691911" w:rsidP="00691911">
            <w:pPr>
              <w:jc w:val="right"/>
              <w:rPr>
                <w:rFonts w:ascii="Tahoma" w:hAnsi="Tahoma" w:cs="Tahoma"/>
                <w:b/>
                <w:bCs/>
                <w:color w:val="595959"/>
                <w:sz w:val="18"/>
                <w:szCs w:val="18"/>
                <w:rtl/>
              </w:rPr>
            </w:pPr>
            <w:r>
              <w:rPr>
                <w:rFonts w:ascii="Tahoma" w:hAnsi="Tahoma" w:cs="Tahoma"/>
                <w:b/>
                <w:bCs/>
                <w:color w:val="6D6E71"/>
                <w:sz w:val="20"/>
                <w:szCs w:val="20"/>
                <w:rtl/>
              </w:rPr>
              <w:t>3.3</w:t>
            </w:r>
          </w:p>
        </w:tc>
      </w:tr>
    </w:tbl>
    <w:p w14:paraId="3FEBB3C2" w14:textId="77777777" w:rsidR="00117AE3" w:rsidRPr="00B2550C" w:rsidRDefault="00117AE3" w:rsidP="00117AE3">
      <w:pPr>
        <w:autoSpaceDE w:val="0"/>
        <w:autoSpaceDN w:val="0"/>
        <w:adjustRightInd w:val="0"/>
        <w:spacing w:after="0" w:line="240" w:lineRule="auto"/>
        <w:contextualSpacing/>
        <w:rPr>
          <w:rFonts w:ascii="Arial" w:hAnsi="Arial"/>
          <w:b/>
          <w:bCs/>
          <w:color w:val="595959"/>
          <w:sz w:val="20"/>
          <w:szCs w:val="20"/>
        </w:rPr>
      </w:pPr>
    </w:p>
    <w:p w14:paraId="505BE1A2" w14:textId="77777777" w:rsidR="00117AE3" w:rsidRPr="00757155" w:rsidRDefault="00117AE3" w:rsidP="00917809">
      <w:pPr>
        <w:pStyle w:val="EcoSourceNote"/>
      </w:pPr>
      <w:r w:rsidRPr="00757155">
        <w:t>Source: Statistics Centre - Abu Dhabi</w:t>
      </w:r>
    </w:p>
    <w:p w14:paraId="6FEBDA9E" w14:textId="77777777" w:rsidR="00117AE3" w:rsidRPr="00757155" w:rsidRDefault="00117AE3" w:rsidP="00917809">
      <w:pPr>
        <w:pStyle w:val="EcoTableChartNotes"/>
      </w:pPr>
      <w:r w:rsidRPr="00757155">
        <w:t>*Preliminary estimates</w:t>
      </w:r>
    </w:p>
    <w:p w14:paraId="0B795468" w14:textId="77777777" w:rsidR="00117AE3" w:rsidRDefault="00117AE3" w:rsidP="00117AE3">
      <w:pPr>
        <w:spacing w:after="0" w:line="240" w:lineRule="auto"/>
        <w:rPr>
          <w:rFonts w:ascii="Tahoma" w:hAnsi="Tahoma" w:cs="Tahoma"/>
          <w:color w:val="595959"/>
          <w:sz w:val="16"/>
          <w:szCs w:val="16"/>
        </w:rPr>
      </w:pPr>
    </w:p>
    <w:p w14:paraId="7A654B29" w14:textId="77777777" w:rsidR="00860562" w:rsidRPr="00B2550C" w:rsidRDefault="00860562" w:rsidP="00117AE3">
      <w:pPr>
        <w:spacing w:after="0" w:line="240" w:lineRule="auto"/>
        <w:rPr>
          <w:rFonts w:ascii="Arial" w:hAnsi="Arial"/>
          <w:color w:val="595959"/>
          <w:sz w:val="20"/>
          <w:szCs w:val="20"/>
        </w:rPr>
      </w:pPr>
    </w:p>
    <w:p w14:paraId="4A462003" w14:textId="0F2C2B77" w:rsidR="00802A5F" w:rsidRPr="00B2550C" w:rsidRDefault="00802A5F" w:rsidP="00802A5F">
      <w:pPr>
        <w:autoSpaceDE w:val="0"/>
        <w:autoSpaceDN w:val="0"/>
        <w:adjustRightInd w:val="0"/>
        <w:spacing w:after="0" w:line="240" w:lineRule="auto"/>
        <w:ind w:hanging="900"/>
        <w:contextualSpacing/>
        <w:rPr>
          <w:rFonts w:ascii="Arial" w:eastAsia="Calibri" w:hAnsi="Arial"/>
          <w:b/>
          <w:color w:val="595959"/>
        </w:rPr>
      </w:pPr>
      <w:r w:rsidRPr="00263BBB">
        <w:rPr>
          <w:rFonts w:ascii="Arial" w:eastAsia="Calibri" w:hAnsi="Arial"/>
          <w:b/>
          <w:color w:val="D6A461" w:themeColor="text2"/>
        </w:rPr>
        <w:t xml:space="preserve">Table </w:t>
      </w:r>
      <w:r>
        <w:rPr>
          <w:rFonts w:ascii="Arial" w:eastAsia="Calibri" w:hAnsi="Arial"/>
          <w:b/>
          <w:color w:val="D6A461" w:themeColor="text2"/>
        </w:rPr>
        <w:t>8</w:t>
      </w:r>
      <w:r w:rsidRPr="00263BBB">
        <w:rPr>
          <w:rFonts w:ascii="Arial" w:eastAsia="Calibri" w:hAnsi="Arial"/>
          <w:b/>
          <w:color w:val="D6A461" w:themeColor="text2"/>
        </w:rPr>
        <w:t xml:space="preserve">: </w:t>
      </w:r>
      <w:r w:rsidRPr="00B2550C">
        <w:rPr>
          <w:rFonts w:ascii="Arial" w:eastAsia="Calibri" w:hAnsi="Arial"/>
          <w:b/>
          <w:color w:val="595959"/>
        </w:rPr>
        <w:t>Percentage change in Gross Domestic Product by sectors at current prices</w:t>
      </w:r>
      <w:r w:rsidRPr="00263BBB">
        <w:rPr>
          <w:rFonts w:ascii="Arial" w:eastAsia="Calibri" w:hAnsi="Arial"/>
          <w:b/>
          <w:color w:val="C00000"/>
        </w:rPr>
        <w:t>*</w:t>
      </w:r>
    </w:p>
    <w:p w14:paraId="7F46EBE0" w14:textId="534942BE" w:rsidR="00802A5F" w:rsidRPr="00B2550C" w:rsidRDefault="00802A5F" w:rsidP="00802A5F">
      <w:pPr>
        <w:spacing w:after="0" w:line="240" w:lineRule="auto"/>
        <w:ind w:left="-576" w:hanging="774"/>
        <w:rPr>
          <w:rFonts w:ascii="Arial" w:hAnsi="Arial"/>
          <w:color w:val="595959"/>
          <w:sz w:val="20"/>
          <w:szCs w:val="20"/>
        </w:rPr>
      </w:pPr>
      <w:r w:rsidRPr="00B2550C">
        <w:rPr>
          <w:rFonts w:ascii="Arial" w:hAnsi="Arial"/>
          <w:color w:val="595959"/>
          <w:sz w:val="20"/>
          <w:szCs w:val="20"/>
        </w:rPr>
        <w:t xml:space="preserve">         </w:t>
      </w:r>
      <w:r w:rsidRPr="00802A5F">
        <w:rPr>
          <w:rFonts w:ascii="Arial" w:hAnsi="Arial"/>
          <w:color w:val="595959"/>
          <w:sz w:val="20"/>
          <w:szCs w:val="20"/>
        </w:rPr>
        <w:t>Percentage change from the previous quarter</w:t>
      </w:r>
    </w:p>
    <w:tbl>
      <w:tblPr>
        <w:tblW w:w="10920" w:type="dxa"/>
        <w:tblInd w:w="-810" w:type="dxa"/>
        <w:tblLook w:val="04A0" w:firstRow="1" w:lastRow="0" w:firstColumn="1" w:lastColumn="0" w:noHBand="0" w:noVBand="1"/>
      </w:tblPr>
      <w:tblGrid>
        <w:gridCol w:w="4459"/>
        <w:gridCol w:w="1729"/>
        <w:gridCol w:w="1183"/>
        <w:gridCol w:w="1274"/>
        <w:gridCol w:w="1183"/>
        <w:gridCol w:w="1092"/>
      </w:tblGrid>
      <w:tr w:rsidR="00691911" w:rsidRPr="00B2550C" w14:paraId="164A03E6" w14:textId="77777777" w:rsidTr="00B40046">
        <w:trPr>
          <w:trHeight w:val="345"/>
        </w:trPr>
        <w:tc>
          <w:tcPr>
            <w:tcW w:w="4459" w:type="dxa"/>
            <w:shd w:val="clear" w:color="auto" w:fill="D6A461" w:themeFill="text2"/>
            <w:noWrap/>
            <w:vAlign w:val="center"/>
            <w:hideMark/>
          </w:tcPr>
          <w:p w14:paraId="5ED3F9F1" w14:textId="6193FBEF"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Sector</w:t>
            </w:r>
            <w:r>
              <w:rPr>
                <w:rFonts w:ascii="Tahoma" w:hAnsi="Tahoma" w:cs="Tahoma"/>
                <w:b/>
                <w:bCs/>
                <w:color w:val="FFFFFF"/>
                <w:sz w:val="20"/>
                <w:szCs w:val="20"/>
              </w:rPr>
              <w:br/>
              <w:t>Seasonally adjusted</w:t>
            </w:r>
          </w:p>
        </w:tc>
        <w:tc>
          <w:tcPr>
            <w:tcW w:w="1729" w:type="dxa"/>
            <w:shd w:val="clear" w:color="auto" w:fill="D6A461" w:themeFill="text2"/>
            <w:vAlign w:val="center"/>
          </w:tcPr>
          <w:p w14:paraId="05287F47" w14:textId="14B51556" w:rsidR="00691911" w:rsidRPr="00B2550C"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Q1 2018</w:t>
            </w:r>
          </w:p>
        </w:tc>
        <w:tc>
          <w:tcPr>
            <w:tcW w:w="1183" w:type="dxa"/>
            <w:shd w:val="clear" w:color="auto" w:fill="D6A461" w:themeFill="text2"/>
            <w:vAlign w:val="center"/>
          </w:tcPr>
          <w:p w14:paraId="7DA76968" w14:textId="5D5AE008"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Q2 2018</w:t>
            </w:r>
          </w:p>
        </w:tc>
        <w:tc>
          <w:tcPr>
            <w:tcW w:w="1274" w:type="dxa"/>
            <w:shd w:val="clear" w:color="auto" w:fill="D6A461" w:themeFill="text2"/>
            <w:vAlign w:val="center"/>
          </w:tcPr>
          <w:p w14:paraId="1A83B7D7" w14:textId="0B2CE864"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Q3 2018</w:t>
            </w:r>
          </w:p>
        </w:tc>
        <w:tc>
          <w:tcPr>
            <w:tcW w:w="1183" w:type="dxa"/>
            <w:shd w:val="clear" w:color="auto" w:fill="D6A461" w:themeFill="text2"/>
            <w:vAlign w:val="center"/>
          </w:tcPr>
          <w:p w14:paraId="4A306CBA" w14:textId="1462B227"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w:t>
            </w:r>
            <w:r>
              <w:rPr>
                <w:rFonts w:ascii="Tahoma" w:hAnsi="Tahoma" w:cs="Tahoma" w:hint="cs"/>
                <w:b/>
                <w:bCs/>
                <w:color w:val="FFFFFF"/>
                <w:sz w:val="20"/>
                <w:szCs w:val="20"/>
                <w:rtl/>
              </w:rPr>
              <w:t>4</w:t>
            </w:r>
            <w:r>
              <w:rPr>
                <w:rFonts w:ascii="Tahoma" w:hAnsi="Tahoma" w:cs="Tahoma"/>
                <w:b/>
                <w:bCs/>
                <w:color w:val="FFFFFF"/>
                <w:sz w:val="20"/>
                <w:szCs w:val="20"/>
              </w:rPr>
              <w:t xml:space="preserve"> 2018</w:t>
            </w:r>
          </w:p>
        </w:tc>
        <w:tc>
          <w:tcPr>
            <w:tcW w:w="1092" w:type="dxa"/>
            <w:shd w:val="clear" w:color="auto" w:fill="D6A461" w:themeFill="text2"/>
            <w:vAlign w:val="center"/>
          </w:tcPr>
          <w:p w14:paraId="3EC7E932" w14:textId="0306C468" w:rsidR="00691911" w:rsidRPr="00665D44" w:rsidRDefault="00691911" w:rsidP="00691911">
            <w:pPr>
              <w:spacing w:after="0" w:line="240" w:lineRule="auto"/>
              <w:jc w:val="right"/>
              <w:rPr>
                <w:rFonts w:ascii="Arial" w:hAnsi="Arial"/>
                <w:b/>
                <w:bCs/>
                <w:color w:val="FFFFFF"/>
                <w:sz w:val="18"/>
                <w:szCs w:val="18"/>
              </w:rPr>
            </w:pPr>
            <w:r>
              <w:rPr>
                <w:rFonts w:ascii="Tahoma" w:hAnsi="Tahoma" w:cs="Tahoma"/>
                <w:b/>
                <w:bCs/>
                <w:color w:val="FFFFFF"/>
                <w:sz w:val="20"/>
                <w:szCs w:val="20"/>
              </w:rPr>
              <w:t>Q1 2019</w:t>
            </w:r>
          </w:p>
        </w:tc>
      </w:tr>
      <w:tr w:rsidR="00691911" w:rsidRPr="002F27C2" w14:paraId="2637626A" w14:textId="77777777" w:rsidTr="00A01BFE">
        <w:trPr>
          <w:trHeight w:hRule="exact" w:val="431"/>
        </w:trPr>
        <w:tc>
          <w:tcPr>
            <w:tcW w:w="4459" w:type="dxa"/>
            <w:shd w:val="clear" w:color="auto" w:fill="auto"/>
            <w:noWrap/>
            <w:vAlign w:val="center"/>
          </w:tcPr>
          <w:p w14:paraId="30845523" w14:textId="1E8C4042"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 xml:space="preserve">Non-financial </w:t>
            </w:r>
          </w:p>
        </w:tc>
        <w:tc>
          <w:tcPr>
            <w:tcW w:w="1729" w:type="dxa"/>
            <w:tcBorders>
              <w:top w:val="nil"/>
              <w:left w:val="nil"/>
              <w:bottom w:val="nil"/>
              <w:right w:val="nil"/>
            </w:tcBorders>
            <w:shd w:val="clear" w:color="auto" w:fill="auto"/>
            <w:vAlign w:val="center"/>
          </w:tcPr>
          <w:p w14:paraId="5FC2FD99" w14:textId="60713555"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6D6E71"/>
                <w:sz w:val="20"/>
                <w:szCs w:val="20"/>
                <w:rtl/>
              </w:rPr>
              <w:t>2.0</w:t>
            </w:r>
          </w:p>
        </w:tc>
        <w:tc>
          <w:tcPr>
            <w:tcW w:w="1183" w:type="dxa"/>
            <w:tcBorders>
              <w:top w:val="nil"/>
              <w:left w:val="nil"/>
              <w:bottom w:val="nil"/>
              <w:right w:val="nil"/>
            </w:tcBorders>
            <w:shd w:val="clear" w:color="auto" w:fill="auto"/>
            <w:vAlign w:val="center"/>
          </w:tcPr>
          <w:p w14:paraId="5687C746" w14:textId="1B7B9453"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6D6E71"/>
                <w:sz w:val="20"/>
                <w:szCs w:val="20"/>
                <w:rtl/>
              </w:rPr>
              <w:t>5.9</w:t>
            </w:r>
          </w:p>
        </w:tc>
        <w:tc>
          <w:tcPr>
            <w:tcW w:w="1274" w:type="dxa"/>
            <w:tcBorders>
              <w:top w:val="nil"/>
              <w:left w:val="nil"/>
              <w:bottom w:val="nil"/>
              <w:right w:val="nil"/>
            </w:tcBorders>
            <w:shd w:val="clear" w:color="auto" w:fill="auto"/>
            <w:vAlign w:val="center"/>
          </w:tcPr>
          <w:p w14:paraId="31F4A977" w14:textId="6B64D5EA"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6D6E71"/>
                <w:sz w:val="20"/>
                <w:szCs w:val="20"/>
                <w:rtl/>
              </w:rPr>
              <w:t>4.8</w:t>
            </w:r>
          </w:p>
        </w:tc>
        <w:tc>
          <w:tcPr>
            <w:tcW w:w="1183" w:type="dxa"/>
            <w:tcBorders>
              <w:top w:val="nil"/>
              <w:left w:val="nil"/>
              <w:bottom w:val="nil"/>
              <w:right w:val="nil"/>
            </w:tcBorders>
            <w:shd w:val="clear" w:color="auto" w:fill="auto"/>
            <w:vAlign w:val="center"/>
          </w:tcPr>
          <w:p w14:paraId="1215F653" w14:textId="4C5AD4EA"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595959"/>
                <w:sz w:val="20"/>
                <w:szCs w:val="20"/>
              </w:rPr>
              <w:t>1.0</w:t>
            </w:r>
          </w:p>
        </w:tc>
        <w:tc>
          <w:tcPr>
            <w:tcW w:w="1092" w:type="dxa"/>
            <w:tcBorders>
              <w:top w:val="nil"/>
              <w:left w:val="nil"/>
              <w:bottom w:val="nil"/>
              <w:right w:val="nil"/>
            </w:tcBorders>
            <w:shd w:val="clear" w:color="auto" w:fill="auto"/>
            <w:vAlign w:val="center"/>
          </w:tcPr>
          <w:p w14:paraId="6F979B8D" w14:textId="235DB108" w:rsidR="00691911" w:rsidRPr="00D0174C" w:rsidRDefault="00575397" w:rsidP="00691911">
            <w:pPr>
              <w:jc w:val="right"/>
              <w:rPr>
                <w:rFonts w:ascii="Tahoma" w:hAnsi="Tahoma" w:cs="Tahoma"/>
                <w:color w:val="595959"/>
                <w:sz w:val="20"/>
                <w:szCs w:val="20"/>
              </w:rPr>
            </w:pPr>
            <w:r>
              <w:rPr>
                <w:rFonts w:ascii="Tahoma" w:hAnsi="Tahoma" w:cs="Tahoma"/>
                <w:color w:val="6D6E71"/>
                <w:sz w:val="20"/>
                <w:szCs w:val="20"/>
              </w:rPr>
              <w:t>-</w:t>
            </w:r>
            <w:r w:rsidR="00691911">
              <w:rPr>
                <w:rFonts w:ascii="Tahoma" w:hAnsi="Tahoma" w:cs="Tahoma"/>
                <w:color w:val="6D6E71"/>
                <w:sz w:val="20"/>
                <w:szCs w:val="20"/>
                <w:rtl/>
              </w:rPr>
              <w:t>7.6</w:t>
            </w:r>
          </w:p>
        </w:tc>
      </w:tr>
      <w:tr w:rsidR="00691911" w:rsidRPr="002F27C2" w14:paraId="6F3AB8B9" w14:textId="77777777" w:rsidTr="00A01BFE">
        <w:trPr>
          <w:trHeight w:hRule="exact" w:val="431"/>
        </w:trPr>
        <w:tc>
          <w:tcPr>
            <w:tcW w:w="4459" w:type="dxa"/>
            <w:shd w:val="clear" w:color="auto" w:fill="auto"/>
            <w:noWrap/>
            <w:vAlign w:val="center"/>
          </w:tcPr>
          <w:p w14:paraId="35C74F74" w14:textId="0589F02F"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Financial companies</w:t>
            </w:r>
          </w:p>
        </w:tc>
        <w:tc>
          <w:tcPr>
            <w:tcW w:w="1729" w:type="dxa"/>
            <w:tcBorders>
              <w:top w:val="nil"/>
              <w:left w:val="nil"/>
              <w:bottom w:val="nil"/>
              <w:right w:val="nil"/>
            </w:tcBorders>
            <w:shd w:val="clear" w:color="auto" w:fill="auto"/>
            <w:vAlign w:val="center"/>
          </w:tcPr>
          <w:p w14:paraId="3A3FF1E7" w14:textId="48C94E1D"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6D6E71"/>
                <w:sz w:val="20"/>
                <w:szCs w:val="20"/>
                <w:rtl/>
              </w:rPr>
              <w:t>0.8</w:t>
            </w:r>
          </w:p>
        </w:tc>
        <w:tc>
          <w:tcPr>
            <w:tcW w:w="1183" w:type="dxa"/>
            <w:tcBorders>
              <w:top w:val="nil"/>
              <w:left w:val="nil"/>
              <w:bottom w:val="nil"/>
              <w:right w:val="nil"/>
            </w:tcBorders>
            <w:shd w:val="clear" w:color="auto" w:fill="auto"/>
            <w:vAlign w:val="center"/>
          </w:tcPr>
          <w:p w14:paraId="422FFFD0" w14:textId="72F20D7C"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6D6E71"/>
                <w:sz w:val="20"/>
                <w:szCs w:val="20"/>
                <w:rtl/>
              </w:rPr>
              <w:t>9.9</w:t>
            </w:r>
          </w:p>
        </w:tc>
        <w:tc>
          <w:tcPr>
            <w:tcW w:w="1274" w:type="dxa"/>
            <w:tcBorders>
              <w:top w:val="nil"/>
              <w:left w:val="nil"/>
              <w:bottom w:val="nil"/>
              <w:right w:val="nil"/>
            </w:tcBorders>
            <w:shd w:val="clear" w:color="auto" w:fill="auto"/>
            <w:vAlign w:val="center"/>
          </w:tcPr>
          <w:p w14:paraId="4675A0AF" w14:textId="4CAEBADC"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6D6E71"/>
                <w:sz w:val="20"/>
                <w:szCs w:val="20"/>
              </w:rPr>
              <w:t>-</w:t>
            </w:r>
            <w:r>
              <w:rPr>
                <w:rFonts w:ascii="Tahoma" w:hAnsi="Tahoma" w:cs="Tahoma"/>
                <w:color w:val="6D6E71"/>
                <w:sz w:val="20"/>
                <w:szCs w:val="20"/>
                <w:rtl/>
              </w:rPr>
              <w:t>17.5</w:t>
            </w:r>
          </w:p>
        </w:tc>
        <w:tc>
          <w:tcPr>
            <w:tcW w:w="1183" w:type="dxa"/>
            <w:tcBorders>
              <w:top w:val="nil"/>
              <w:left w:val="nil"/>
              <w:bottom w:val="nil"/>
              <w:right w:val="nil"/>
            </w:tcBorders>
            <w:shd w:val="clear" w:color="auto" w:fill="auto"/>
            <w:vAlign w:val="center"/>
          </w:tcPr>
          <w:p w14:paraId="29A23669" w14:textId="40CD333B"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595959"/>
                <w:sz w:val="20"/>
                <w:szCs w:val="20"/>
              </w:rPr>
              <w:t>19.3</w:t>
            </w:r>
          </w:p>
        </w:tc>
        <w:tc>
          <w:tcPr>
            <w:tcW w:w="1092" w:type="dxa"/>
            <w:tcBorders>
              <w:top w:val="nil"/>
              <w:left w:val="nil"/>
              <w:bottom w:val="nil"/>
              <w:right w:val="nil"/>
            </w:tcBorders>
            <w:shd w:val="clear" w:color="auto" w:fill="auto"/>
            <w:vAlign w:val="center"/>
          </w:tcPr>
          <w:p w14:paraId="4F0E3602" w14:textId="036B7005" w:rsidR="00691911" w:rsidRPr="00D0174C" w:rsidRDefault="00575397" w:rsidP="00691911">
            <w:pPr>
              <w:jc w:val="right"/>
              <w:rPr>
                <w:rFonts w:ascii="Tahoma" w:hAnsi="Tahoma" w:cs="Tahoma"/>
                <w:color w:val="595959"/>
                <w:sz w:val="20"/>
                <w:szCs w:val="20"/>
                <w:rtl/>
              </w:rPr>
            </w:pPr>
            <w:r>
              <w:rPr>
                <w:rFonts w:ascii="Tahoma" w:hAnsi="Tahoma" w:cs="Tahoma"/>
                <w:color w:val="6D6E71"/>
                <w:sz w:val="20"/>
                <w:szCs w:val="20"/>
              </w:rPr>
              <w:t>-</w:t>
            </w:r>
            <w:r w:rsidR="00691911">
              <w:rPr>
                <w:rFonts w:ascii="Tahoma" w:hAnsi="Tahoma" w:cs="Tahoma"/>
                <w:color w:val="6D6E71"/>
                <w:sz w:val="20"/>
                <w:szCs w:val="20"/>
                <w:rtl/>
              </w:rPr>
              <w:t>6.7</w:t>
            </w:r>
          </w:p>
        </w:tc>
      </w:tr>
      <w:tr w:rsidR="00691911" w:rsidRPr="002F27C2" w14:paraId="50DCB299" w14:textId="77777777" w:rsidTr="00A01BFE">
        <w:trPr>
          <w:trHeight w:hRule="exact" w:val="529"/>
        </w:trPr>
        <w:tc>
          <w:tcPr>
            <w:tcW w:w="4459" w:type="dxa"/>
            <w:shd w:val="clear" w:color="auto" w:fill="auto"/>
            <w:noWrap/>
            <w:vAlign w:val="center"/>
          </w:tcPr>
          <w:p w14:paraId="3ACD94C8" w14:textId="17CFFB24"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General government</w:t>
            </w:r>
          </w:p>
        </w:tc>
        <w:tc>
          <w:tcPr>
            <w:tcW w:w="1729" w:type="dxa"/>
            <w:tcBorders>
              <w:top w:val="nil"/>
              <w:left w:val="nil"/>
              <w:bottom w:val="nil"/>
              <w:right w:val="nil"/>
            </w:tcBorders>
            <w:shd w:val="clear" w:color="auto" w:fill="auto"/>
            <w:vAlign w:val="center"/>
          </w:tcPr>
          <w:p w14:paraId="7BD194FE" w14:textId="15509AA2"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6D6E71"/>
                <w:sz w:val="20"/>
                <w:szCs w:val="20"/>
                <w:rtl/>
              </w:rPr>
              <w:t>-</w:t>
            </w:r>
            <w:r>
              <w:rPr>
                <w:rFonts w:ascii="Tahoma" w:hAnsi="Tahoma" w:cs="Tahoma"/>
                <w:color w:val="6D6E71"/>
                <w:sz w:val="20"/>
                <w:szCs w:val="20"/>
              </w:rPr>
              <w:t>0.7</w:t>
            </w:r>
          </w:p>
        </w:tc>
        <w:tc>
          <w:tcPr>
            <w:tcW w:w="1183" w:type="dxa"/>
            <w:tcBorders>
              <w:top w:val="nil"/>
              <w:left w:val="nil"/>
              <w:bottom w:val="nil"/>
              <w:right w:val="nil"/>
            </w:tcBorders>
            <w:shd w:val="clear" w:color="auto" w:fill="auto"/>
            <w:vAlign w:val="center"/>
          </w:tcPr>
          <w:p w14:paraId="324DDA65" w14:textId="19D2B65A"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595959"/>
                <w:sz w:val="20"/>
                <w:szCs w:val="20"/>
              </w:rPr>
              <w:t>0.6</w:t>
            </w:r>
          </w:p>
        </w:tc>
        <w:tc>
          <w:tcPr>
            <w:tcW w:w="1274" w:type="dxa"/>
            <w:tcBorders>
              <w:top w:val="nil"/>
              <w:left w:val="nil"/>
              <w:bottom w:val="nil"/>
              <w:right w:val="nil"/>
            </w:tcBorders>
            <w:shd w:val="clear" w:color="auto" w:fill="auto"/>
            <w:vAlign w:val="center"/>
          </w:tcPr>
          <w:p w14:paraId="6FC033EC" w14:textId="7A5CFEEF"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595959"/>
                <w:sz w:val="20"/>
                <w:szCs w:val="20"/>
              </w:rPr>
              <w:t>1.6</w:t>
            </w:r>
          </w:p>
        </w:tc>
        <w:tc>
          <w:tcPr>
            <w:tcW w:w="1183" w:type="dxa"/>
            <w:tcBorders>
              <w:top w:val="nil"/>
              <w:left w:val="nil"/>
              <w:bottom w:val="nil"/>
              <w:right w:val="nil"/>
            </w:tcBorders>
            <w:shd w:val="clear" w:color="auto" w:fill="auto"/>
            <w:vAlign w:val="center"/>
          </w:tcPr>
          <w:p w14:paraId="3B94DFC4" w14:textId="764265E8"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595959"/>
                <w:sz w:val="20"/>
                <w:szCs w:val="20"/>
              </w:rPr>
              <w:t>0.4</w:t>
            </w:r>
          </w:p>
        </w:tc>
        <w:tc>
          <w:tcPr>
            <w:tcW w:w="1092" w:type="dxa"/>
            <w:tcBorders>
              <w:top w:val="nil"/>
              <w:left w:val="nil"/>
              <w:bottom w:val="nil"/>
              <w:right w:val="nil"/>
            </w:tcBorders>
            <w:shd w:val="clear" w:color="auto" w:fill="auto"/>
            <w:vAlign w:val="center"/>
          </w:tcPr>
          <w:p w14:paraId="595945EE" w14:textId="27583B9F" w:rsidR="00691911" w:rsidRPr="00D0174C" w:rsidRDefault="00691911" w:rsidP="00691911">
            <w:pPr>
              <w:jc w:val="right"/>
              <w:rPr>
                <w:rFonts w:ascii="Tahoma" w:hAnsi="Tahoma" w:cs="Tahoma"/>
                <w:color w:val="595959"/>
                <w:sz w:val="20"/>
                <w:szCs w:val="20"/>
                <w:rtl/>
              </w:rPr>
            </w:pPr>
            <w:r>
              <w:rPr>
                <w:rFonts w:ascii="Tahoma" w:hAnsi="Tahoma" w:cs="Tahoma"/>
                <w:color w:val="6D6E71"/>
                <w:sz w:val="20"/>
                <w:szCs w:val="20"/>
                <w:rtl/>
              </w:rPr>
              <w:t>0.0</w:t>
            </w:r>
          </w:p>
        </w:tc>
      </w:tr>
      <w:tr w:rsidR="00691911" w:rsidRPr="002F27C2" w14:paraId="635BB7A9" w14:textId="77777777" w:rsidTr="00A01BFE">
        <w:trPr>
          <w:trHeight w:hRule="exact" w:val="431"/>
        </w:trPr>
        <w:tc>
          <w:tcPr>
            <w:tcW w:w="4459" w:type="dxa"/>
            <w:shd w:val="clear" w:color="auto" w:fill="auto"/>
            <w:noWrap/>
            <w:vAlign w:val="center"/>
          </w:tcPr>
          <w:p w14:paraId="3DBC6A14" w14:textId="20E2532C"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Households</w:t>
            </w:r>
          </w:p>
        </w:tc>
        <w:tc>
          <w:tcPr>
            <w:tcW w:w="1729" w:type="dxa"/>
            <w:tcBorders>
              <w:top w:val="nil"/>
              <w:left w:val="nil"/>
              <w:bottom w:val="nil"/>
              <w:right w:val="nil"/>
            </w:tcBorders>
            <w:shd w:val="clear" w:color="auto" w:fill="auto"/>
            <w:vAlign w:val="center"/>
          </w:tcPr>
          <w:p w14:paraId="003E5A96" w14:textId="4AF39700"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595959"/>
                <w:sz w:val="20"/>
                <w:szCs w:val="20"/>
              </w:rPr>
              <w:t>2.3</w:t>
            </w:r>
          </w:p>
        </w:tc>
        <w:tc>
          <w:tcPr>
            <w:tcW w:w="1183" w:type="dxa"/>
            <w:tcBorders>
              <w:top w:val="nil"/>
              <w:left w:val="nil"/>
              <w:bottom w:val="nil"/>
              <w:right w:val="nil"/>
            </w:tcBorders>
            <w:shd w:val="clear" w:color="auto" w:fill="auto"/>
            <w:vAlign w:val="center"/>
          </w:tcPr>
          <w:p w14:paraId="7325CD62" w14:textId="2F5772F4"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595959"/>
                <w:sz w:val="20"/>
                <w:szCs w:val="20"/>
              </w:rPr>
              <w:t>1.9</w:t>
            </w:r>
          </w:p>
        </w:tc>
        <w:tc>
          <w:tcPr>
            <w:tcW w:w="1274" w:type="dxa"/>
            <w:tcBorders>
              <w:top w:val="nil"/>
              <w:left w:val="nil"/>
              <w:bottom w:val="nil"/>
              <w:right w:val="nil"/>
            </w:tcBorders>
            <w:shd w:val="clear" w:color="auto" w:fill="auto"/>
            <w:vAlign w:val="center"/>
          </w:tcPr>
          <w:p w14:paraId="0C451ED8" w14:textId="168AF36F"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595959"/>
                <w:sz w:val="20"/>
                <w:szCs w:val="20"/>
              </w:rPr>
              <w:t>1.8</w:t>
            </w:r>
          </w:p>
        </w:tc>
        <w:tc>
          <w:tcPr>
            <w:tcW w:w="1183" w:type="dxa"/>
            <w:tcBorders>
              <w:top w:val="nil"/>
              <w:left w:val="nil"/>
              <w:bottom w:val="nil"/>
              <w:right w:val="nil"/>
            </w:tcBorders>
            <w:shd w:val="clear" w:color="auto" w:fill="auto"/>
            <w:vAlign w:val="center"/>
          </w:tcPr>
          <w:p w14:paraId="52BCF818" w14:textId="65757032" w:rsidR="00691911" w:rsidRPr="00B45201" w:rsidRDefault="00691911" w:rsidP="00691911">
            <w:pPr>
              <w:jc w:val="right"/>
              <w:rPr>
                <w:rFonts w:asciiTheme="majorHAnsi" w:hAnsiTheme="majorHAnsi" w:cstheme="majorHAnsi"/>
                <w:color w:val="595959"/>
                <w:sz w:val="20"/>
                <w:szCs w:val="20"/>
              </w:rPr>
            </w:pPr>
            <w:r>
              <w:rPr>
                <w:rFonts w:ascii="Tahoma" w:hAnsi="Tahoma" w:cs="Tahoma"/>
                <w:color w:val="595959"/>
                <w:sz w:val="20"/>
                <w:szCs w:val="20"/>
              </w:rPr>
              <w:t>1.8</w:t>
            </w:r>
          </w:p>
        </w:tc>
        <w:tc>
          <w:tcPr>
            <w:tcW w:w="1092" w:type="dxa"/>
            <w:tcBorders>
              <w:top w:val="nil"/>
              <w:left w:val="nil"/>
              <w:bottom w:val="nil"/>
              <w:right w:val="nil"/>
            </w:tcBorders>
            <w:shd w:val="clear" w:color="auto" w:fill="auto"/>
            <w:vAlign w:val="center"/>
          </w:tcPr>
          <w:p w14:paraId="36869054" w14:textId="72765A18" w:rsidR="00691911" w:rsidRPr="00D0174C" w:rsidRDefault="00691911" w:rsidP="00691911">
            <w:pPr>
              <w:jc w:val="right"/>
              <w:rPr>
                <w:rFonts w:ascii="Tahoma" w:hAnsi="Tahoma" w:cs="Tahoma"/>
                <w:color w:val="595959"/>
                <w:sz w:val="20"/>
                <w:szCs w:val="20"/>
                <w:rtl/>
              </w:rPr>
            </w:pPr>
            <w:r>
              <w:rPr>
                <w:rFonts w:ascii="Tahoma" w:hAnsi="Tahoma" w:cs="Tahoma"/>
                <w:color w:val="6D6E71"/>
                <w:sz w:val="20"/>
                <w:szCs w:val="20"/>
                <w:rtl/>
              </w:rPr>
              <w:t>2.1</w:t>
            </w:r>
          </w:p>
        </w:tc>
      </w:tr>
      <w:tr w:rsidR="00691911" w:rsidRPr="00422CF0" w14:paraId="0E38AECB" w14:textId="77777777" w:rsidTr="00013D84">
        <w:trPr>
          <w:trHeight w:hRule="exact" w:val="298"/>
        </w:trPr>
        <w:tc>
          <w:tcPr>
            <w:tcW w:w="4459" w:type="dxa"/>
            <w:shd w:val="clear" w:color="auto" w:fill="D9D9D9"/>
            <w:noWrap/>
            <w:vAlign w:val="center"/>
            <w:hideMark/>
          </w:tcPr>
          <w:p w14:paraId="50A1C3BB"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GDP</w:t>
            </w:r>
          </w:p>
        </w:tc>
        <w:tc>
          <w:tcPr>
            <w:tcW w:w="1729" w:type="dxa"/>
            <w:tcBorders>
              <w:top w:val="nil"/>
              <w:left w:val="nil"/>
              <w:bottom w:val="single" w:sz="4" w:space="0" w:color="D6A461"/>
              <w:right w:val="nil"/>
            </w:tcBorders>
            <w:shd w:val="clear" w:color="000000" w:fill="D9D9D9"/>
            <w:vAlign w:val="center"/>
          </w:tcPr>
          <w:p w14:paraId="68DEC801" w14:textId="63AADCEE" w:rsidR="00691911" w:rsidRPr="00B56D78" w:rsidRDefault="00691911" w:rsidP="00691911">
            <w:pPr>
              <w:jc w:val="right"/>
              <w:rPr>
                <w:rFonts w:ascii="Tahoma" w:hAnsi="Tahoma" w:cs="Tahoma"/>
                <w:b/>
                <w:bCs/>
                <w:color w:val="6D6E71"/>
                <w:sz w:val="20"/>
                <w:szCs w:val="20"/>
              </w:rPr>
            </w:pPr>
            <w:r>
              <w:rPr>
                <w:rFonts w:ascii="Tahoma" w:hAnsi="Tahoma" w:cs="Tahoma"/>
                <w:b/>
                <w:bCs/>
                <w:color w:val="6D6E71"/>
                <w:sz w:val="20"/>
                <w:szCs w:val="20"/>
                <w:rtl/>
              </w:rPr>
              <w:t>1.7</w:t>
            </w:r>
          </w:p>
        </w:tc>
        <w:tc>
          <w:tcPr>
            <w:tcW w:w="1183" w:type="dxa"/>
            <w:tcBorders>
              <w:top w:val="nil"/>
              <w:left w:val="nil"/>
              <w:bottom w:val="single" w:sz="4" w:space="0" w:color="D6A461"/>
              <w:right w:val="nil"/>
            </w:tcBorders>
            <w:shd w:val="clear" w:color="000000" w:fill="D9D9D9"/>
            <w:vAlign w:val="center"/>
          </w:tcPr>
          <w:p w14:paraId="45ABBDDB" w14:textId="3B3EB07D" w:rsidR="00691911" w:rsidRPr="00B56D78" w:rsidRDefault="00691911" w:rsidP="00691911">
            <w:pPr>
              <w:jc w:val="right"/>
              <w:rPr>
                <w:rFonts w:ascii="Tahoma" w:hAnsi="Tahoma" w:cs="Tahoma"/>
                <w:b/>
                <w:bCs/>
                <w:color w:val="6D6E71"/>
                <w:sz w:val="20"/>
                <w:szCs w:val="20"/>
              </w:rPr>
            </w:pPr>
            <w:r>
              <w:rPr>
                <w:rFonts w:ascii="Tahoma" w:hAnsi="Tahoma" w:cs="Tahoma"/>
                <w:b/>
                <w:bCs/>
                <w:color w:val="6D6E71"/>
                <w:sz w:val="20"/>
                <w:szCs w:val="20"/>
                <w:rtl/>
              </w:rPr>
              <w:t>5.8</w:t>
            </w:r>
          </w:p>
        </w:tc>
        <w:tc>
          <w:tcPr>
            <w:tcW w:w="1274" w:type="dxa"/>
            <w:tcBorders>
              <w:top w:val="nil"/>
              <w:left w:val="nil"/>
              <w:bottom w:val="single" w:sz="4" w:space="0" w:color="D6A461"/>
              <w:right w:val="nil"/>
            </w:tcBorders>
            <w:shd w:val="clear" w:color="000000" w:fill="D9D9D9"/>
            <w:vAlign w:val="center"/>
          </w:tcPr>
          <w:p w14:paraId="689F5F2F" w14:textId="3E8E5FAF" w:rsidR="00691911" w:rsidRPr="00B56D78" w:rsidRDefault="00691911" w:rsidP="00691911">
            <w:pPr>
              <w:jc w:val="right"/>
              <w:rPr>
                <w:rFonts w:ascii="Tahoma" w:hAnsi="Tahoma" w:cs="Tahoma"/>
                <w:b/>
                <w:bCs/>
                <w:color w:val="6D6E71"/>
                <w:sz w:val="20"/>
                <w:szCs w:val="20"/>
              </w:rPr>
            </w:pPr>
            <w:r>
              <w:rPr>
                <w:rFonts w:ascii="Tahoma" w:hAnsi="Tahoma" w:cs="Tahoma"/>
                <w:b/>
                <w:bCs/>
                <w:color w:val="6D6E71"/>
                <w:sz w:val="20"/>
                <w:szCs w:val="20"/>
                <w:rtl/>
              </w:rPr>
              <w:t>2.5</w:t>
            </w:r>
          </w:p>
        </w:tc>
        <w:tc>
          <w:tcPr>
            <w:tcW w:w="1183" w:type="dxa"/>
            <w:tcBorders>
              <w:top w:val="nil"/>
              <w:left w:val="nil"/>
              <w:bottom w:val="single" w:sz="4" w:space="0" w:color="D6A461"/>
              <w:right w:val="nil"/>
            </w:tcBorders>
            <w:shd w:val="clear" w:color="000000" w:fill="D9D9D9"/>
            <w:vAlign w:val="center"/>
          </w:tcPr>
          <w:p w14:paraId="45138C1B" w14:textId="621D1A62" w:rsidR="00691911" w:rsidRPr="00B56D78" w:rsidRDefault="00691911" w:rsidP="00691911">
            <w:pPr>
              <w:jc w:val="right"/>
              <w:rPr>
                <w:rFonts w:ascii="Tahoma" w:hAnsi="Tahoma" w:cs="Tahoma"/>
                <w:b/>
                <w:bCs/>
                <w:color w:val="6D6E71"/>
                <w:sz w:val="20"/>
                <w:szCs w:val="20"/>
              </w:rPr>
            </w:pPr>
            <w:r>
              <w:rPr>
                <w:rFonts w:ascii="Tahoma" w:hAnsi="Tahoma" w:cs="Tahoma"/>
                <w:b/>
                <w:bCs/>
                <w:color w:val="6D6E71"/>
                <w:sz w:val="20"/>
                <w:szCs w:val="20"/>
                <w:rtl/>
              </w:rPr>
              <w:t>2.3</w:t>
            </w:r>
          </w:p>
        </w:tc>
        <w:tc>
          <w:tcPr>
            <w:tcW w:w="1092" w:type="dxa"/>
            <w:tcBorders>
              <w:top w:val="nil"/>
              <w:left w:val="nil"/>
              <w:bottom w:val="single" w:sz="4" w:space="0" w:color="D6A461"/>
              <w:right w:val="nil"/>
            </w:tcBorders>
            <w:shd w:val="clear" w:color="000000" w:fill="D9D9D9"/>
            <w:vAlign w:val="center"/>
          </w:tcPr>
          <w:p w14:paraId="19F2AF38" w14:textId="6827BD5D" w:rsidR="00691911" w:rsidRPr="00B56D78" w:rsidRDefault="00575397" w:rsidP="00691911">
            <w:pPr>
              <w:jc w:val="right"/>
              <w:rPr>
                <w:rFonts w:ascii="Tahoma" w:hAnsi="Tahoma" w:cs="Tahoma"/>
                <w:b/>
                <w:bCs/>
                <w:color w:val="6D6E71"/>
                <w:sz w:val="20"/>
                <w:szCs w:val="20"/>
                <w:rtl/>
              </w:rPr>
            </w:pPr>
            <w:r>
              <w:rPr>
                <w:rFonts w:ascii="Tahoma" w:hAnsi="Tahoma" w:cs="Tahoma"/>
                <w:b/>
                <w:bCs/>
                <w:color w:val="6D6E71"/>
                <w:sz w:val="20"/>
                <w:szCs w:val="20"/>
              </w:rPr>
              <w:t>-</w:t>
            </w:r>
            <w:r w:rsidR="00691911">
              <w:rPr>
                <w:rFonts w:ascii="Tahoma" w:hAnsi="Tahoma" w:cs="Tahoma"/>
                <w:b/>
                <w:bCs/>
                <w:color w:val="6D6E71"/>
                <w:sz w:val="20"/>
                <w:szCs w:val="20"/>
                <w:rtl/>
              </w:rPr>
              <w:t>6.9</w:t>
            </w:r>
          </w:p>
        </w:tc>
      </w:tr>
      <w:tr w:rsidR="00013D84" w:rsidRPr="00422CF0" w14:paraId="758AF14A" w14:textId="77777777" w:rsidTr="00B56D78">
        <w:trPr>
          <w:trHeight w:hRule="exact" w:val="76"/>
        </w:trPr>
        <w:tc>
          <w:tcPr>
            <w:tcW w:w="4459" w:type="dxa"/>
            <w:tcBorders>
              <w:bottom w:val="single" w:sz="4" w:space="0" w:color="D6A461" w:themeColor="text2"/>
            </w:tcBorders>
            <w:shd w:val="clear" w:color="auto" w:fill="D9D9D9"/>
            <w:noWrap/>
            <w:vAlign w:val="center"/>
          </w:tcPr>
          <w:p w14:paraId="2171C0D4" w14:textId="77777777" w:rsidR="00013D84" w:rsidRPr="00B45201" w:rsidRDefault="00013D84" w:rsidP="00013D84">
            <w:pPr>
              <w:spacing w:after="0" w:line="240" w:lineRule="auto"/>
              <w:rPr>
                <w:rFonts w:asciiTheme="majorHAnsi" w:hAnsiTheme="majorHAnsi" w:cstheme="majorHAnsi"/>
                <w:b/>
                <w:bCs/>
                <w:color w:val="595959"/>
                <w:sz w:val="18"/>
                <w:szCs w:val="18"/>
              </w:rPr>
            </w:pPr>
          </w:p>
        </w:tc>
        <w:tc>
          <w:tcPr>
            <w:tcW w:w="1729" w:type="dxa"/>
            <w:tcBorders>
              <w:top w:val="nil"/>
              <w:left w:val="nil"/>
              <w:bottom w:val="single" w:sz="4" w:space="0" w:color="D6A461"/>
              <w:right w:val="nil"/>
            </w:tcBorders>
            <w:shd w:val="clear" w:color="000000" w:fill="D9D9D9"/>
            <w:vAlign w:val="center"/>
          </w:tcPr>
          <w:p w14:paraId="23FF5737" w14:textId="77777777" w:rsidR="00013D84" w:rsidRPr="00B56D78" w:rsidRDefault="00013D84" w:rsidP="00013D84">
            <w:pPr>
              <w:jc w:val="right"/>
              <w:rPr>
                <w:rFonts w:ascii="Tahoma" w:hAnsi="Tahoma" w:cs="Tahoma"/>
                <w:b/>
                <w:bCs/>
                <w:color w:val="6D6E71"/>
                <w:sz w:val="20"/>
                <w:szCs w:val="20"/>
              </w:rPr>
            </w:pPr>
          </w:p>
        </w:tc>
        <w:tc>
          <w:tcPr>
            <w:tcW w:w="1183" w:type="dxa"/>
            <w:tcBorders>
              <w:top w:val="nil"/>
              <w:left w:val="nil"/>
              <w:bottom w:val="single" w:sz="4" w:space="0" w:color="D6A461"/>
              <w:right w:val="nil"/>
            </w:tcBorders>
            <w:shd w:val="clear" w:color="000000" w:fill="D9D9D9"/>
            <w:vAlign w:val="center"/>
          </w:tcPr>
          <w:p w14:paraId="15C1966D" w14:textId="77777777" w:rsidR="00013D84" w:rsidRPr="00B56D78" w:rsidRDefault="00013D84" w:rsidP="00013D84">
            <w:pPr>
              <w:jc w:val="right"/>
              <w:rPr>
                <w:rFonts w:ascii="Tahoma" w:hAnsi="Tahoma" w:cs="Tahoma"/>
                <w:b/>
                <w:bCs/>
                <w:color w:val="6D6E71"/>
                <w:sz w:val="20"/>
                <w:szCs w:val="20"/>
              </w:rPr>
            </w:pPr>
          </w:p>
        </w:tc>
        <w:tc>
          <w:tcPr>
            <w:tcW w:w="1274" w:type="dxa"/>
            <w:tcBorders>
              <w:top w:val="nil"/>
              <w:left w:val="nil"/>
              <w:bottom w:val="single" w:sz="4" w:space="0" w:color="D6A461"/>
              <w:right w:val="nil"/>
            </w:tcBorders>
            <w:shd w:val="clear" w:color="000000" w:fill="D9D9D9"/>
            <w:vAlign w:val="center"/>
          </w:tcPr>
          <w:p w14:paraId="3EB484FA" w14:textId="77777777" w:rsidR="00013D84" w:rsidRPr="00B56D78" w:rsidRDefault="00013D84" w:rsidP="00013D84">
            <w:pPr>
              <w:jc w:val="right"/>
              <w:rPr>
                <w:rFonts w:ascii="Tahoma" w:hAnsi="Tahoma" w:cs="Tahoma"/>
                <w:b/>
                <w:bCs/>
                <w:color w:val="6D6E71"/>
                <w:sz w:val="20"/>
                <w:szCs w:val="20"/>
              </w:rPr>
            </w:pPr>
          </w:p>
        </w:tc>
        <w:tc>
          <w:tcPr>
            <w:tcW w:w="1183" w:type="dxa"/>
            <w:tcBorders>
              <w:top w:val="nil"/>
              <w:left w:val="nil"/>
              <w:bottom w:val="single" w:sz="4" w:space="0" w:color="D6A461"/>
              <w:right w:val="nil"/>
            </w:tcBorders>
            <w:shd w:val="clear" w:color="000000" w:fill="D9D9D9"/>
            <w:vAlign w:val="center"/>
          </w:tcPr>
          <w:p w14:paraId="2E5E3932" w14:textId="77777777" w:rsidR="00013D84" w:rsidRPr="00B56D78" w:rsidRDefault="00013D84" w:rsidP="00013D84">
            <w:pPr>
              <w:jc w:val="right"/>
              <w:rPr>
                <w:rFonts w:ascii="Tahoma" w:hAnsi="Tahoma" w:cs="Tahoma"/>
                <w:b/>
                <w:bCs/>
                <w:color w:val="6D6E71"/>
                <w:sz w:val="20"/>
                <w:szCs w:val="20"/>
              </w:rPr>
            </w:pPr>
          </w:p>
        </w:tc>
        <w:tc>
          <w:tcPr>
            <w:tcW w:w="1092" w:type="dxa"/>
            <w:tcBorders>
              <w:top w:val="nil"/>
              <w:left w:val="nil"/>
              <w:bottom w:val="single" w:sz="4" w:space="0" w:color="D6A461"/>
              <w:right w:val="nil"/>
            </w:tcBorders>
            <w:shd w:val="clear" w:color="000000" w:fill="D9D9D9"/>
          </w:tcPr>
          <w:p w14:paraId="6FC50CDA" w14:textId="77777777" w:rsidR="00013D84" w:rsidRPr="00B56D78" w:rsidRDefault="00013D84" w:rsidP="00013D84">
            <w:pPr>
              <w:jc w:val="right"/>
              <w:rPr>
                <w:rFonts w:ascii="Tahoma" w:hAnsi="Tahoma" w:cs="Tahoma"/>
                <w:b/>
                <w:bCs/>
                <w:color w:val="6D6E71"/>
                <w:sz w:val="20"/>
                <w:szCs w:val="20"/>
              </w:rPr>
            </w:pPr>
          </w:p>
        </w:tc>
      </w:tr>
    </w:tbl>
    <w:p w14:paraId="2F96651C" w14:textId="77777777" w:rsidR="00802A5F" w:rsidRPr="00B2550C" w:rsidRDefault="00802A5F" w:rsidP="00802A5F">
      <w:pPr>
        <w:autoSpaceDE w:val="0"/>
        <w:autoSpaceDN w:val="0"/>
        <w:adjustRightInd w:val="0"/>
        <w:spacing w:after="0" w:line="240" w:lineRule="auto"/>
        <w:contextualSpacing/>
        <w:rPr>
          <w:rFonts w:ascii="Arial" w:hAnsi="Arial"/>
          <w:b/>
          <w:bCs/>
          <w:color w:val="595959"/>
          <w:sz w:val="20"/>
          <w:szCs w:val="20"/>
        </w:rPr>
      </w:pPr>
    </w:p>
    <w:p w14:paraId="37B1A1F6" w14:textId="77777777" w:rsidR="00802A5F" w:rsidRPr="00757155" w:rsidRDefault="00802A5F" w:rsidP="00917809">
      <w:pPr>
        <w:pStyle w:val="EcoSourceNote"/>
      </w:pPr>
      <w:r w:rsidRPr="00757155">
        <w:t>Source: Statistics Centre - Abu Dhabi</w:t>
      </w:r>
    </w:p>
    <w:p w14:paraId="461C4CBA" w14:textId="0E38D8AA" w:rsidR="00713797" w:rsidRPr="00B40046" w:rsidRDefault="00802A5F" w:rsidP="00917809">
      <w:pPr>
        <w:pStyle w:val="EcoTableChartNotes"/>
      </w:pPr>
      <w:r w:rsidRPr="00757155">
        <w:t>*Preliminary estimates</w:t>
      </w:r>
    </w:p>
    <w:p w14:paraId="155CA73B" w14:textId="77777777" w:rsidR="00AE2030" w:rsidRDefault="00AE2030" w:rsidP="00D614DE">
      <w:pPr>
        <w:autoSpaceDE w:val="0"/>
        <w:autoSpaceDN w:val="0"/>
        <w:adjustRightInd w:val="0"/>
        <w:spacing w:after="0" w:line="240" w:lineRule="auto"/>
        <w:ind w:hanging="810"/>
        <w:rPr>
          <w:rFonts w:ascii="Arial" w:eastAsia="Calibri" w:hAnsi="Arial"/>
          <w:b/>
          <w:color w:val="D6A461" w:themeColor="text2"/>
        </w:rPr>
      </w:pPr>
    </w:p>
    <w:p w14:paraId="27BA39F1" w14:textId="5D84923A" w:rsidR="00117AE3" w:rsidRPr="00B2550C" w:rsidRDefault="00117AE3" w:rsidP="00D614DE">
      <w:pPr>
        <w:autoSpaceDE w:val="0"/>
        <w:autoSpaceDN w:val="0"/>
        <w:adjustRightInd w:val="0"/>
        <w:spacing w:after="0" w:line="240" w:lineRule="auto"/>
        <w:ind w:hanging="810"/>
        <w:rPr>
          <w:rFonts w:ascii="Arial" w:eastAsia="Calibri" w:hAnsi="Arial"/>
          <w:b/>
          <w:color w:val="595959"/>
        </w:rPr>
      </w:pPr>
      <w:r w:rsidRPr="0047511F">
        <w:rPr>
          <w:rFonts w:ascii="Arial" w:eastAsia="Calibri" w:hAnsi="Arial"/>
          <w:b/>
          <w:color w:val="D6A461" w:themeColor="text2"/>
        </w:rPr>
        <w:t xml:space="preserve">Table 9: </w:t>
      </w:r>
      <w:r w:rsidRPr="00B2550C">
        <w:rPr>
          <w:rFonts w:ascii="Arial" w:eastAsia="Calibri" w:hAnsi="Arial"/>
          <w:b/>
          <w:color w:val="595959"/>
        </w:rPr>
        <w:t xml:space="preserve">Percentage contribution </w:t>
      </w:r>
      <w:r w:rsidR="00D614DE">
        <w:rPr>
          <w:rFonts w:ascii="Arial" w:eastAsia="Calibri" w:hAnsi="Arial"/>
          <w:b/>
          <w:color w:val="595959"/>
        </w:rPr>
        <w:t>to</w:t>
      </w:r>
      <w:r w:rsidRPr="00B2550C">
        <w:rPr>
          <w:rFonts w:ascii="Arial" w:eastAsia="Calibri" w:hAnsi="Arial"/>
          <w:b/>
          <w:color w:val="595959"/>
        </w:rPr>
        <w:t xml:space="preserve"> Gross Domestic Product by sectors at current prices</w:t>
      </w:r>
      <w:r w:rsidRPr="0047511F">
        <w:rPr>
          <w:rFonts w:ascii="Arial" w:eastAsia="Calibri" w:hAnsi="Arial"/>
          <w:b/>
          <w:color w:val="C00000"/>
        </w:rPr>
        <w:t>*</w:t>
      </w:r>
    </w:p>
    <w:p w14:paraId="2E4D8EB8" w14:textId="77777777" w:rsidR="00117AE3" w:rsidRPr="00B2550C" w:rsidRDefault="00117AE3" w:rsidP="00713797">
      <w:pPr>
        <w:spacing w:after="0" w:line="240" w:lineRule="auto"/>
        <w:ind w:left="-576" w:hanging="234"/>
        <w:rPr>
          <w:rFonts w:ascii="Arial" w:hAnsi="Arial"/>
          <w:color w:val="595959"/>
          <w:sz w:val="20"/>
          <w:szCs w:val="20"/>
        </w:rPr>
      </w:pPr>
      <w:r w:rsidRPr="00B2550C">
        <w:rPr>
          <w:rFonts w:ascii="Arial" w:hAnsi="Arial"/>
          <w:color w:val="595959"/>
          <w:sz w:val="20"/>
          <w:szCs w:val="20"/>
        </w:rPr>
        <w:t xml:space="preserve"> (%)</w:t>
      </w:r>
    </w:p>
    <w:tbl>
      <w:tblPr>
        <w:tblW w:w="11184" w:type="dxa"/>
        <w:tblInd w:w="-900" w:type="dxa"/>
        <w:tblLook w:val="04A0" w:firstRow="1" w:lastRow="0" w:firstColumn="1" w:lastColumn="0" w:noHBand="0" w:noVBand="1"/>
      </w:tblPr>
      <w:tblGrid>
        <w:gridCol w:w="3248"/>
        <w:gridCol w:w="992"/>
        <w:gridCol w:w="992"/>
        <w:gridCol w:w="992"/>
        <w:gridCol w:w="992"/>
        <w:gridCol w:w="992"/>
        <w:gridCol w:w="992"/>
        <w:gridCol w:w="992"/>
        <w:gridCol w:w="992"/>
      </w:tblGrid>
      <w:tr w:rsidR="00691911" w:rsidRPr="00B2550C" w14:paraId="1423EA59" w14:textId="77777777" w:rsidTr="00B40046">
        <w:trPr>
          <w:trHeight w:val="293"/>
        </w:trPr>
        <w:tc>
          <w:tcPr>
            <w:tcW w:w="3248" w:type="dxa"/>
            <w:shd w:val="clear" w:color="auto" w:fill="D6A461" w:themeFill="text2"/>
            <w:noWrap/>
            <w:vAlign w:val="center"/>
            <w:hideMark/>
          </w:tcPr>
          <w:p w14:paraId="7068FD36" w14:textId="58EDD0A7"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Sector</w:t>
            </w:r>
            <w:r>
              <w:rPr>
                <w:rFonts w:ascii="Tahoma" w:hAnsi="Tahoma" w:cs="Tahoma"/>
                <w:b/>
                <w:bCs/>
                <w:color w:val="FFFFFF"/>
                <w:sz w:val="20"/>
                <w:szCs w:val="20"/>
              </w:rPr>
              <w:br/>
              <w:t>Seasonally adjusted</w:t>
            </w:r>
          </w:p>
        </w:tc>
        <w:tc>
          <w:tcPr>
            <w:tcW w:w="992" w:type="dxa"/>
            <w:shd w:val="clear" w:color="auto" w:fill="D6A461" w:themeFill="text2"/>
            <w:vAlign w:val="center"/>
          </w:tcPr>
          <w:p w14:paraId="06C6EEB1" w14:textId="0B541FC2" w:rsidR="00691911" w:rsidRPr="00802A5F" w:rsidRDefault="00691911" w:rsidP="00691911">
            <w:pPr>
              <w:spacing w:after="0" w:line="240" w:lineRule="auto"/>
              <w:jc w:val="right"/>
              <w:rPr>
                <w:rFonts w:ascii="Arial" w:hAnsi="Arial"/>
                <w:b/>
                <w:bCs/>
                <w:color w:val="FFFFFF"/>
                <w:sz w:val="18"/>
                <w:szCs w:val="18"/>
              </w:rPr>
            </w:pPr>
            <w:r w:rsidRPr="00802A5F">
              <w:rPr>
                <w:rFonts w:ascii="Tahoma" w:hAnsi="Tahoma" w:cs="Tahoma"/>
                <w:b/>
                <w:bCs/>
                <w:color w:val="FFFFFF"/>
                <w:sz w:val="18"/>
                <w:szCs w:val="18"/>
              </w:rPr>
              <w:t xml:space="preserve">Q2 </w:t>
            </w:r>
            <w:r>
              <w:rPr>
                <w:rFonts w:ascii="Tahoma" w:hAnsi="Tahoma" w:cs="Tahoma"/>
                <w:b/>
                <w:bCs/>
                <w:color w:val="FFFFFF"/>
                <w:sz w:val="18"/>
                <w:szCs w:val="18"/>
              </w:rPr>
              <w:t>2017</w:t>
            </w:r>
          </w:p>
        </w:tc>
        <w:tc>
          <w:tcPr>
            <w:tcW w:w="992" w:type="dxa"/>
            <w:shd w:val="clear" w:color="auto" w:fill="D6A461" w:themeFill="text2"/>
            <w:vAlign w:val="center"/>
          </w:tcPr>
          <w:p w14:paraId="18BFA956" w14:textId="4B43C491" w:rsidR="00691911" w:rsidRPr="00802A5F" w:rsidRDefault="00691911" w:rsidP="00691911">
            <w:pPr>
              <w:spacing w:after="0" w:line="240" w:lineRule="auto"/>
              <w:jc w:val="right"/>
              <w:rPr>
                <w:rFonts w:ascii="Arial" w:hAnsi="Arial"/>
                <w:b/>
                <w:bCs/>
                <w:color w:val="FFFFFF"/>
                <w:sz w:val="18"/>
                <w:szCs w:val="18"/>
              </w:rPr>
            </w:pPr>
            <w:r w:rsidRPr="00802A5F">
              <w:rPr>
                <w:rFonts w:ascii="Tahoma" w:hAnsi="Tahoma" w:cs="Tahoma"/>
                <w:b/>
                <w:bCs/>
                <w:color w:val="FFFFFF"/>
                <w:sz w:val="18"/>
                <w:szCs w:val="18"/>
              </w:rPr>
              <w:t xml:space="preserve">Q3 </w:t>
            </w:r>
            <w:r>
              <w:rPr>
                <w:rFonts w:ascii="Tahoma" w:hAnsi="Tahoma" w:cs="Tahoma"/>
                <w:b/>
                <w:bCs/>
                <w:color w:val="FFFFFF"/>
                <w:sz w:val="18"/>
                <w:szCs w:val="18"/>
              </w:rPr>
              <w:t>2017</w:t>
            </w:r>
          </w:p>
        </w:tc>
        <w:tc>
          <w:tcPr>
            <w:tcW w:w="992" w:type="dxa"/>
            <w:shd w:val="clear" w:color="auto" w:fill="D6A461" w:themeFill="text2"/>
            <w:vAlign w:val="center"/>
          </w:tcPr>
          <w:p w14:paraId="0BD00217" w14:textId="73636F34" w:rsidR="00691911" w:rsidRPr="00802A5F" w:rsidRDefault="00691911" w:rsidP="00691911">
            <w:pPr>
              <w:spacing w:after="0" w:line="240" w:lineRule="auto"/>
              <w:jc w:val="right"/>
              <w:rPr>
                <w:rFonts w:ascii="Arial" w:hAnsi="Arial"/>
                <w:b/>
                <w:bCs/>
                <w:color w:val="FFFFFF"/>
                <w:sz w:val="18"/>
                <w:szCs w:val="18"/>
              </w:rPr>
            </w:pPr>
            <w:r w:rsidRPr="00802A5F">
              <w:rPr>
                <w:rFonts w:ascii="Tahoma" w:hAnsi="Tahoma" w:cs="Tahoma"/>
                <w:b/>
                <w:bCs/>
                <w:color w:val="FFFFFF"/>
                <w:sz w:val="18"/>
                <w:szCs w:val="18"/>
              </w:rPr>
              <w:t xml:space="preserve">Q4 </w:t>
            </w:r>
            <w:r>
              <w:rPr>
                <w:rFonts w:ascii="Tahoma" w:hAnsi="Tahoma" w:cs="Tahoma"/>
                <w:b/>
                <w:bCs/>
                <w:color w:val="FFFFFF"/>
                <w:sz w:val="18"/>
                <w:szCs w:val="18"/>
              </w:rPr>
              <w:t>2017</w:t>
            </w:r>
          </w:p>
        </w:tc>
        <w:tc>
          <w:tcPr>
            <w:tcW w:w="992" w:type="dxa"/>
            <w:shd w:val="clear" w:color="auto" w:fill="D6A461" w:themeFill="text2"/>
            <w:vAlign w:val="center"/>
          </w:tcPr>
          <w:p w14:paraId="45ECE886" w14:textId="568F77F7" w:rsidR="00691911" w:rsidRPr="00802A5F" w:rsidRDefault="00691911" w:rsidP="00691911">
            <w:pPr>
              <w:spacing w:after="0" w:line="240" w:lineRule="auto"/>
              <w:jc w:val="right"/>
              <w:rPr>
                <w:rFonts w:ascii="Arial" w:hAnsi="Arial"/>
                <w:b/>
                <w:bCs/>
                <w:color w:val="FFFFFF"/>
                <w:sz w:val="18"/>
                <w:szCs w:val="18"/>
              </w:rPr>
            </w:pPr>
            <w:r w:rsidRPr="00802A5F">
              <w:rPr>
                <w:rFonts w:ascii="Tahoma" w:hAnsi="Tahoma" w:cs="Tahoma"/>
                <w:b/>
                <w:bCs/>
                <w:color w:val="FFFFFF"/>
                <w:sz w:val="18"/>
                <w:szCs w:val="18"/>
              </w:rPr>
              <w:t>Q</w:t>
            </w:r>
            <w:r>
              <w:rPr>
                <w:rFonts w:ascii="Tahoma" w:hAnsi="Tahoma" w:cs="Tahoma"/>
                <w:b/>
                <w:bCs/>
                <w:color w:val="FFFFFF"/>
                <w:sz w:val="18"/>
                <w:szCs w:val="18"/>
              </w:rPr>
              <w:t>1</w:t>
            </w:r>
            <w:r w:rsidRPr="00802A5F">
              <w:rPr>
                <w:rFonts w:ascii="Tahoma" w:hAnsi="Tahoma" w:cs="Tahoma"/>
                <w:b/>
                <w:bCs/>
                <w:color w:val="FFFFFF"/>
                <w:sz w:val="18"/>
                <w:szCs w:val="18"/>
              </w:rPr>
              <w:t xml:space="preserve"> </w:t>
            </w:r>
            <w:r>
              <w:rPr>
                <w:rFonts w:ascii="Tahoma" w:hAnsi="Tahoma" w:cs="Tahoma"/>
                <w:b/>
                <w:bCs/>
                <w:color w:val="FFFFFF"/>
                <w:sz w:val="18"/>
                <w:szCs w:val="18"/>
              </w:rPr>
              <w:t>2018</w:t>
            </w:r>
          </w:p>
        </w:tc>
        <w:tc>
          <w:tcPr>
            <w:tcW w:w="992" w:type="dxa"/>
            <w:shd w:val="clear" w:color="auto" w:fill="D6A461" w:themeFill="text2"/>
            <w:vAlign w:val="center"/>
          </w:tcPr>
          <w:p w14:paraId="2CA1310D" w14:textId="0ECC7C5C" w:rsidR="00691911" w:rsidRPr="00802A5F" w:rsidRDefault="00691911" w:rsidP="00691911">
            <w:pPr>
              <w:spacing w:after="0" w:line="240" w:lineRule="auto"/>
              <w:jc w:val="right"/>
              <w:rPr>
                <w:rFonts w:ascii="Arial" w:hAnsi="Arial"/>
                <w:b/>
                <w:bCs/>
                <w:color w:val="FFFFFF"/>
                <w:sz w:val="18"/>
                <w:szCs w:val="18"/>
              </w:rPr>
            </w:pPr>
            <w:r w:rsidRPr="00802A5F">
              <w:rPr>
                <w:rFonts w:ascii="Tahoma" w:hAnsi="Tahoma" w:cs="Tahoma"/>
                <w:b/>
                <w:bCs/>
                <w:color w:val="FFFFFF"/>
                <w:sz w:val="18"/>
                <w:szCs w:val="18"/>
              </w:rPr>
              <w:t>Q</w:t>
            </w:r>
            <w:r>
              <w:rPr>
                <w:rFonts w:ascii="Tahoma" w:hAnsi="Tahoma" w:cs="Tahoma"/>
                <w:b/>
                <w:bCs/>
                <w:color w:val="FFFFFF"/>
                <w:sz w:val="18"/>
                <w:szCs w:val="18"/>
              </w:rPr>
              <w:t>2</w:t>
            </w:r>
            <w:r w:rsidRPr="00802A5F">
              <w:rPr>
                <w:rFonts w:ascii="Tahoma" w:hAnsi="Tahoma" w:cs="Tahoma"/>
                <w:b/>
                <w:bCs/>
                <w:color w:val="FFFFFF"/>
                <w:sz w:val="18"/>
                <w:szCs w:val="18"/>
              </w:rPr>
              <w:t xml:space="preserve"> </w:t>
            </w:r>
            <w:r>
              <w:rPr>
                <w:rFonts w:ascii="Tahoma" w:hAnsi="Tahoma" w:cs="Tahoma"/>
                <w:b/>
                <w:bCs/>
                <w:color w:val="FFFFFF"/>
                <w:sz w:val="18"/>
                <w:szCs w:val="18"/>
              </w:rPr>
              <w:t>2018</w:t>
            </w:r>
          </w:p>
        </w:tc>
        <w:tc>
          <w:tcPr>
            <w:tcW w:w="992" w:type="dxa"/>
            <w:shd w:val="clear" w:color="auto" w:fill="D6A461" w:themeFill="text2"/>
            <w:vAlign w:val="center"/>
          </w:tcPr>
          <w:p w14:paraId="3EE3876E" w14:textId="7CAE8CF5" w:rsidR="00691911" w:rsidRPr="00802A5F" w:rsidRDefault="00691911" w:rsidP="00691911">
            <w:pPr>
              <w:spacing w:after="0" w:line="240" w:lineRule="auto"/>
              <w:jc w:val="right"/>
              <w:rPr>
                <w:rFonts w:ascii="Arial" w:hAnsi="Arial"/>
                <w:b/>
                <w:bCs/>
                <w:color w:val="FFFFFF"/>
                <w:sz w:val="18"/>
                <w:szCs w:val="18"/>
              </w:rPr>
            </w:pPr>
            <w:r w:rsidRPr="00802A5F">
              <w:rPr>
                <w:rFonts w:ascii="Tahoma" w:hAnsi="Tahoma" w:cs="Tahoma"/>
                <w:b/>
                <w:bCs/>
                <w:color w:val="FFFFFF"/>
                <w:sz w:val="18"/>
                <w:szCs w:val="18"/>
              </w:rPr>
              <w:t>Q</w:t>
            </w:r>
            <w:r>
              <w:rPr>
                <w:rFonts w:ascii="Tahoma" w:hAnsi="Tahoma" w:cs="Tahoma"/>
                <w:b/>
                <w:bCs/>
                <w:color w:val="FFFFFF"/>
                <w:sz w:val="18"/>
                <w:szCs w:val="18"/>
              </w:rPr>
              <w:t>3</w:t>
            </w:r>
            <w:r w:rsidRPr="00802A5F">
              <w:rPr>
                <w:rFonts w:ascii="Tahoma" w:hAnsi="Tahoma" w:cs="Tahoma"/>
                <w:b/>
                <w:bCs/>
                <w:color w:val="FFFFFF"/>
                <w:sz w:val="18"/>
                <w:szCs w:val="18"/>
              </w:rPr>
              <w:t xml:space="preserve"> </w:t>
            </w:r>
            <w:r>
              <w:rPr>
                <w:rFonts w:ascii="Tahoma" w:hAnsi="Tahoma" w:cs="Tahoma"/>
                <w:b/>
                <w:bCs/>
                <w:color w:val="FFFFFF"/>
                <w:sz w:val="18"/>
                <w:szCs w:val="18"/>
              </w:rPr>
              <w:t>2018</w:t>
            </w:r>
          </w:p>
        </w:tc>
        <w:tc>
          <w:tcPr>
            <w:tcW w:w="992" w:type="dxa"/>
            <w:shd w:val="clear" w:color="auto" w:fill="D6A461" w:themeFill="text2"/>
            <w:vAlign w:val="center"/>
          </w:tcPr>
          <w:p w14:paraId="39CF5A48" w14:textId="1082EEF0" w:rsidR="00691911" w:rsidRPr="00802A5F" w:rsidRDefault="00691911" w:rsidP="00691911">
            <w:pPr>
              <w:spacing w:after="0" w:line="240" w:lineRule="auto"/>
              <w:jc w:val="right"/>
              <w:rPr>
                <w:rFonts w:ascii="Arial" w:hAnsi="Arial"/>
                <w:b/>
                <w:bCs/>
                <w:color w:val="FFFFFF"/>
                <w:sz w:val="18"/>
                <w:szCs w:val="18"/>
              </w:rPr>
            </w:pPr>
            <w:r w:rsidRPr="00802A5F">
              <w:rPr>
                <w:rFonts w:ascii="Tahoma" w:hAnsi="Tahoma" w:cs="Tahoma"/>
                <w:b/>
                <w:bCs/>
                <w:color w:val="FFFFFF"/>
                <w:sz w:val="18"/>
                <w:szCs w:val="18"/>
              </w:rPr>
              <w:t>Q</w:t>
            </w:r>
            <w:r>
              <w:rPr>
                <w:rFonts w:ascii="Tahoma" w:hAnsi="Tahoma" w:cs="Tahoma" w:hint="cs"/>
                <w:b/>
                <w:bCs/>
                <w:color w:val="FFFFFF"/>
                <w:sz w:val="18"/>
                <w:szCs w:val="18"/>
                <w:rtl/>
              </w:rPr>
              <w:t>4</w:t>
            </w:r>
            <w:r w:rsidRPr="00802A5F">
              <w:rPr>
                <w:rFonts w:ascii="Tahoma" w:hAnsi="Tahoma" w:cs="Tahoma"/>
                <w:b/>
                <w:bCs/>
                <w:color w:val="FFFFFF"/>
                <w:sz w:val="18"/>
                <w:szCs w:val="18"/>
              </w:rPr>
              <w:t xml:space="preserve"> </w:t>
            </w:r>
            <w:r>
              <w:rPr>
                <w:rFonts w:ascii="Tahoma" w:hAnsi="Tahoma" w:cs="Tahoma"/>
                <w:b/>
                <w:bCs/>
                <w:color w:val="FFFFFF"/>
                <w:sz w:val="18"/>
                <w:szCs w:val="18"/>
              </w:rPr>
              <w:t>2018</w:t>
            </w:r>
          </w:p>
        </w:tc>
        <w:tc>
          <w:tcPr>
            <w:tcW w:w="992" w:type="dxa"/>
            <w:shd w:val="clear" w:color="auto" w:fill="D6A461" w:themeFill="text2"/>
            <w:vAlign w:val="center"/>
          </w:tcPr>
          <w:p w14:paraId="62C75565" w14:textId="34417993" w:rsidR="00691911" w:rsidRPr="00802A5F" w:rsidRDefault="00691911" w:rsidP="00691911">
            <w:pPr>
              <w:spacing w:after="0" w:line="240" w:lineRule="auto"/>
              <w:jc w:val="right"/>
              <w:rPr>
                <w:rFonts w:ascii="Arial" w:hAnsi="Arial"/>
                <w:b/>
                <w:bCs/>
                <w:color w:val="FFFFFF"/>
                <w:sz w:val="18"/>
                <w:szCs w:val="18"/>
              </w:rPr>
            </w:pPr>
            <w:r w:rsidRPr="00802A5F">
              <w:rPr>
                <w:rFonts w:ascii="Tahoma" w:hAnsi="Tahoma" w:cs="Tahoma"/>
                <w:b/>
                <w:bCs/>
                <w:color w:val="FFFFFF"/>
                <w:sz w:val="18"/>
                <w:szCs w:val="18"/>
              </w:rPr>
              <w:t>Q</w:t>
            </w:r>
            <w:r>
              <w:rPr>
                <w:rFonts w:ascii="Tahoma" w:hAnsi="Tahoma" w:cs="Tahoma"/>
                <w:b/>
                <w:bCs/>
                <w:color w:val="FFFFFF"/>
                <w:sz w:val="18"/>
                <w:szCs w:val="18"/>
              </w:rPr>
              <w:t>1</w:t>
            </w:r>
            <w:r w:rsidRPr="00802A5F">
              <w:rPr>
                <w:rFonts w:ascii="Tahoma" w:hAnsi="Tahoma" w:cs="Tahoma"/>
                <w:b/>
                <w:bCs/>
                <w:color w:val="FFFFFF"/>
                <w:sz w:val="18"/>
                <w:szCs w:val="18"/>
              </w:rPr>
              <w:t xml:space="preserve"> </w:t>
            </w:r>
            <w:r>
              <w:rPr>
                <w:rFonts w:ascii="Tahoma" w:hAnsi="Tahoma" w:cs="Tahoma"/>
                <w:b/>
                <w:bCs/>
                <w:color w:val="FFFFFF"/>
                <w:sz w:val="18"/>
                <w:szCs w:val="18"/>
              </w:rPr>
              <w:t>2019</w:t>
            </w:r>
          </w:p>
        </w:tc>
      </w:tr>
      <w:tr w:rsidR="00691911" w:rsidRPr="00B2550C" w14:paraId="19C0A360" w14:textId="77777777" w:rsidTr="00B40046">
        <w:trPr>
          <w:trHeight w:hRule="exact" w:val="434"/>
        </w:trPr>
        <w:tc>
          <w:tcPr>
            <w:tcW w:w="3248" w:type="dxa"/>
            <w:shd w:val="clear" w:color="auto" w:fill="auto"/>
            <w:noWrap/>
            <w:vAlign w:val="center"/>
          </w:tcPr>
          <w:p w14:paraId="40E205F7" w14:textId="2C38DB00"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 xml:space="preserve">Non-financial </w:t>
            </w:r>
          </w:p>
        </w:tc>
        <w:tc>
          <w:tcPr>
            <w:tcW w:w="992" w:type="dxa"/>
            <w:tcBorders>
              <w:top w:val="nil"/>
              <w:left w:val="nil"/>
              <w:bottom w:val="nil"/>
              <w:right w:val="nil"/>
            </w:tcBorders>
            <w:shd w:val="clear" w:color="auto" w:fill="auto"/>
            <w:vAlign w:val="center"/>
          </w:tcPr>
          <w:p w14:paraId="3A0B9FF6" w14:textId="67620DA0"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82.3</w:t>
            </w:r>
          </w:p>
        </w:tc>
        <w:tc>
          <w:tcPr>
            <w:tcW w:w="992" w:type="dxa"/>
            <w:tcBorders>
              <w:top w:val="nil"/>
              <w:left w:val="nil"/>
              <w:bottom w:val="nil"/>
              <w:right w:val="nil"/>
            </w:tcBorders>
            <w:shd w:val="clear" w:color="auto" w:fill="auto"/>
            <w:vAlign w:val="center"/>
          </w:tcPr>
          <w:p w14:paraId="6B0461ED" w14:textId="36285B79"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82.5</w:t>
            </w:r>
          </w:p>
        </w:tc>
        <w:tc>
          <w:tcPr>
            <w:tcW w:w="992" w:type="dxa"/>
            <w:tcBorders>
              <w:top w:val="nil"/>
              <w:left w:val="nil"/>
              <w:bottom w:val="nil"/>
              <w:right w:val="nil"/>
            </w:tcBorders>
            <w:shd w:val="clear" w:color="auto" w:fill="auto"/>
            <w:vAlign w:val="center"/>
          </w:tcPr>
          <w:p w14:paraId="222DBED4" w14:textId="45A998FA"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83.0</w:t>
            </w:r>
          </w:p>
        </w:tc>
        <w:tc>
          <w:tcPr>
            <w:tcW w:w="992" w:type="dxa"/>
            <w:tcBorders>
              <w:top w:val="nil"/>
              <w:left w:val="nil"/>
              <w:bottom w:val="nil"/>
              <w:right w:val="nil"/>
            </w:tcBorders>
            <w:shd w:val="clear" w:color="auto" w:fill="auto"/>
            <w:vAlign w:val="center"/>
          </w:tcPr>
          <w:p w14:paraId="4FFE9D10" w14:textId="45B5D5A9"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83.3</w:t>
            </w:r>
          </w:p>
        </w:tc>
        <w:tc>
          <w:tcPr>
            <w:tcW w:w="992" w:type="dxa"/>
            <w:tcBorders>
              <w:top w:val="nil"/>
              <w:left w:val="nil"/>
              <w:bottom w:val="nil"/>
              <w:right w:val="nil"/>
            </w:tcBorders>
            <w:shd w:val="clear" w:color="auto" w:fill="auto"/>
            <w:vAlign w:val="center"/>
          </w:tcPr>
          <w:p w14:paraId="75DC44AD" w14:textId="0509A39B"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83.3</w:t>
            </w:r>
          </w:p>
        </w:tc>
        <w:tc>
          <w:tcPr>
            <w:tcW w:w="992" w:type="dxa"/>
            <w:tcBorders>
              <w:top w:val="nil"/>
              <w:left w:val="nil"/>
              <w:bottom w:val="nil"/>
              <w:right w:val="nil"/>
            </w:tcBorders>
            <w:shd w:val="clear" w:color="auto" w:fill="auto"/>
            <w:vAlign w:val="center"/>
          </w:tcPr>
          <w:p w14:paraId="1E43A732" w14:textId="7B6AC365"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85.2</w:t>
            </w:r>
          </w:p>
        </w:tc>
        <w:tc>
          <w:tcPr>
            <w:tcW w:w="992" w:type="dxa"/>
            <w:tcBorders>
              <w:top w:val="nil"/>
              <w:left w:val="nil"/>
              <w:bottom w:val="nil"/>
              <w:right w:val="nil"/>
            </w:tcBorders>
            <w:shd w:val="clear" w:color="auto" w:fill="auto"/>
            <w:vAlign w:val="center"/>
          </w:tcPr>
          <w:p w14:paraId="2471F6DE" w14:textId="56BF1DA1"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84.1</w:t>
            </w:r>
          </w:p>
        </w:tc>
        <w:tc>
          <w:tcPr>
            <w:tcW w:w="992" w:type="dxa"/>
            <w:tcBorders>
              <w:top w:val="nil"/>
              <w:left w:val="nil"/>
              <w:bottom w:val="nil"/>
              <w:right w:val="nil"/>
            </w:tcBorders>
            <w:shd w:val="clear" w:color="auto" w:fill="auto"/>
            <w:vAlign w:val="center"/>
          </w:tcPr>
          <w:p w14:paraId="431863FC" w14:textId="5559C254"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83.5</w:t>
            </w:r>
          </w:p>
        </w:tc>
      </w:tr>
      <w:tr w:rsidR="00691911" w:rsidRPr="00B2550C" w14:paraId="395FA9AC" w14:textId="77777777" w:rsidTr="00B40046">
        <w:trPr>
          <w:trHeight w:hRule="exact" w:val="464"/>
        </w:trPr>
        <w:tc>
          <w:tcPr>
            <w:tcW w:w="3248" w:type="dxa"/>
            <w:shd w:val="clear" w:color="auto" w:fill="auto"/>
            <w:noWrap/>
            <w:vAlign w:val="center"/>
          </w:tcPr>
          <w:p w14:paraId="0E4851C6" w14:textId="1C364E77"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Financial companies</w:t>
            </w:r>
          </w:p>
        </w:tc>
        <w:tc>
          <w:tcPr>
            <w:tcW w:w="992" w:type="dxa"/>
            <w:tcBorders>
              <w:top w:val="nil"/>
              <w:left w:val="nil"/>
              <w:bottom w:val="nil"/>
              <w:right w:val="nil"/>
            </w:tcBorders>
            <w:shd w:val="clear" w:color="auto" w:fill="auto"/>
            <w:vAlign w:val="center"/>
          </w:tcPr>
          <w:p w14:paraId="0775DFBE" w14:textId="4B82A60B"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9.4</w:t>
            </w:r>
          </w:p>
        </w:tc>
        <w:tc>
          <w:tcPr>
            <w:tcW w:w="992" w:type="dxa"/>
            <w:tcBorders>
              <w:top w:val="nil"/>
              <w:left w:val="nil"/>
              <w:bottom w:val="nil"/>
              <w:right w:val="nil"/>
            </w:tcBorders>
            <w:shd w:val="clear" w:color="auto" w:fill="auto"/>
            <w:vAlign w:val="center"/>
          </w:tcPr>
          <w:p w14:paraId="50152216" w14:textId="2C9BB15E"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9.3</w:t>
            </w:r>
          </w:p>
        </w:tc>
        <w:tc>
          <w:tcPr>
            <w:tcW w:w="992" w:type="dxa"/>
            <w:tcBorders>
              <w:top w:val="nil"/>
              <w:left w:val="nil"/>
              <w:bottom w:val="nil"/>
              <w:right w:val="nil"/>
            </w:tcBorders>
            <w:shd w:val="clear" w:color="auto" w:fill="auto"/>
            <w:vAlign w:val="center"/>
          </w:tcPr>
          <w:p w14:paraId="55C98A52" w14:textId="76DFAFEE"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8.8</w:t>
            </w:r>
          </w:p>
        </w:tc>
        <w:tc>
          <w:tcPr>
            <w:tcW w:w="992" w:type="dxa"/>
            <w:tcBorders>
              <w:top w:val="nil"/>
              <w:left w:val="nil"/>
              <w:bottom w:val="nil"/>
              <w:right w:val="nil"/>
            </w:tcBorders>
            <w:shd w:val="clear" w:color="auto" w:fill="auto"/>
            <w:vAlign w:val="center"/>
          </w:tcPr>
          <w:p w14:paraId="2FCC4DF2" w14:textId="3D0F1518"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8.7</w:t>
            </w:r>
          </w:p>
        </w:tc>
        <w:tc>
          <w:tcPr>
            <w:tcW w:w="992" w:type="dxa"/>
            <w:tcBorders>
              <w:top w:val="nil"/>
              <w:left w:val="nil"/>
              <w:bottom w:val="nil"/>
              <w:right w:val="nil"/>
            </w:tcBorders>
            <w:shd w:val="clear" w:color="auto" w:fill="auto"/>
            <w:vAlign w:val="center"/>
          </w:tcPr>
          <w:p w14:paraId="4BD714CE" w14:textId="20C49696"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9.0</w:t>
            </w:r>
          </w:p>
        </w:tc>
        <w:tc>
          <w:tcPr>
            <w:tcW w:w="992" w:type="dxa"/>
            <w:tcBorders>
              <w:top w:val="nil"/>
              <w:left w:val="nil"/>
              <w:bottom w:val="nil"/>
              <w:right w:val="nil"/>
            </w:tcBorders>
            <w:shd w:val="clear" w:color="auto" w:fill="auto"/>
            <w:vAlign w:val="center"/>
          </w:tcPr>
          <w:p w14:paraId="1545FF27" w14:textId="7A962E88"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7.3</w:t>
            </w:r>
          </w:p>
        </w:tc>
        <w:tc>
          <w:tcPr>
            <w:tcW w:w="992" w:type="dxa"/>
            <w:tcBorders>
              <w:top w:val="nil"/>
              <w:left w:val="nil"/>
              <w:bottom w:val="nil"/>
              <w:right w:val="nil"/>
            </w:tcBorders>
            <w:shd w:val="clear" w:color="auto" w:fill="auto"/>
            <w:vAlign w:val="center"/>
          </w:tcPr>
          <w:p w14:paraId="395A2641" w14:textId="5DFA7CDD"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8.5</w:t>
            </w:r>
          </w:p>
        </w:tc>
        <w:tc>
          <w:tcPr>
            <w:tcW w:w="992" w:type="dxa"/>
            <w:tcBorders>
              <w:top w:val="nil"/>
              <w:left w:val="nil"/>
              <w:bottom w:val="nil"/>
              <w:right w:val="nil"/>
            </w:tcBorders>
            <w:shd w:val="clear" w:color="auto" w:fill="auto"/>
            <w:vAlign w:val="center"/>
          </w:tcPr>
          <w:p w14:paraId="527A5019" w14:textId="419420BF"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8.5</w:t>
            </w:r>
          </w:p>
        </w:tc>
      </w:tr>
      <w:tr w:rsidR="00691911" w:rsidRPr="00B2550C" w14:paraId="30829201" w14:textId="77777777" w:rsidTr="007153F6">
        <w:trPr>
          <w:trHeight w:hRule="exact" w:val="302"/>
        </w:trPr>
        <w:tc>
          <w:tcPr>
            <w:tcW w:w="3248" w:type="dxa"/>
            <w:shd w:val="clear" w:color="auto" w:fill="auto"/>
            <w:noWrap/>
            <w:vAlign w:val="center"/>
          </w:tcPr>
          <w:p w14:paraId="25FCF61D" w14:textId="6A6CFF4C"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General government</w:t>
            </w:r>
          </w:p>
        </w:tc>
        <w:tc>
          <w:tcPr>
            <w:tcW w:w="992" w:type="dxa"/>
            <w:tcBorders>
              <w:top w:val="nil"/>
              <w:left w:val="nil"/>
              <w:bottom w:val="nil"/>
              <w:right w:val="nil"/>
            </w:tcBorders>
            <w:shd w:val="clear" w:color="auto" w:fill="auto"/>
            <w:vAlign w:val="center"/>
          </w:tcPr>
          <w:p w14:paraId="747A8D13" w14:textId="0B38F55E"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7.7</w:t>
            </w:r>
          </w:p>
        </w:tc>
        <w:tc>
          <w:tcPr>
            <w:tcW w:w="992" w:type="dxa"/>
            <w:tcBorders>
              <w:top w:val="nil"/>
              <w:left w:val="nil"/>
              <w:bottom w:val="nil"/>
              <w:right w:val="nil"/>
            </w:tcBorders>
            <w:shd w:val="clear" w:color="auto" w:fill="auto"/>
            <w:vAlign w:val="center"/>
          </w:tcPr>
          <w:p w14:paraId="1C830A3D" w14:textId="1418BBC4"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7.5</w:t>
            </w:r>
          </w:p>
        </w:tc>
        <w:tc>
          <w:tcPr>
            <w:tcW w:w="992" w:type="dxa"/>
            <w:tcBorders>
              <w:top w:val="nil"/>
              <w:left w:val="nil"/>
              <w:bottom w:val="nil"/>
              <w:right w:val="nil"/>
            </w:tcBorders>
            <w:shd w:val="clear" w:color="auto" w:fill="auto"/>
            <w:vAlign w:val="center"/>
          </w:tcPr>
          <w:p w14:paraId="6A2C9535" w14:textId="49F95AD3"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7.5</w:t>
            </w:r>
          </w:p>
        </w:tc>
        <w:tc>
          <w:tcPr>
            <w:tcW w:w="992" w:type="dxa"/>
            <w:tcBorders>
              <w:top w:val="nil"/>
              <w:left w:val="nil"/>
              <w:bottom w:val="nil"/>
              <w:right w:val="nil"/>
            </w:tcBorders>
            <w:shd w:val="clear" w:color="auto" w:fill="auto"/>
            <w:vAlign w:val="center"/>
          </w:tcPr>
          <w:p w14:paraId="4B65044B" w14:textId="6975D13B"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7.4</w:t>
            </w:r>
          </w:p>
        </w:tc>
        <w:tc>
          <w:tcPr>
            <w:tcW w:w="992" w:type="dxa"/>
            <w:tcBorders>
              <w:top w:val="nil"/>
              <w:left w:val="nil"/>
              <w:bottom w:val="nil"/>
              <w:right w:val="nil"/>
            </w:tcBorders>
            <w:shd w:val="clear" w:color="auto" w:fill="auto"/>
            <w:vAlign w:val="center"/>
          </w:tcPr>
          <w:p w14:paraId="7D629C9D" w14:textId="674DF893"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7.0</w:t>
            </w:r>
          </w:p>
        </w:tc>
        <w:tc>
          <w:tcPr>
            <w:tcW w:w="992" w:type="dxa"/>
            <w:tcBorders>
              <w:top w:val="nil"/>
              <w:left w:val="nil"/>
              <w:bottom w:val="nil"/>
              <w:right w:val="nil"/>
            </w:tcBorders>
            <w:shd w:val="clear" w:color="auto" w:fill="auto"/>
            <w:vAlign w:val="center"/>
          </w:tcPr>
          <w:p w14:paraId="4B1F3E67" w14:textId="5C93A1DC"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6.9</w:t>
            </w:r>
          </w:p>
        </w:tc>
        <w:tc>
          <w:tcPr>
            <w:tcW w:w="992" w:type="dxa"/>
            <w:tcBorders>
              <w:top w:val="nil"/>
              <w:left w:val="nil"/>
              <w:bottom w:val="nil"/>
              <w:right w:val="nil"/>
            </w:tcBorders>
            <w:shd w:val="clear" w:color="auto" w:fill="auto"/>
            <w:vAlign w:val="center"/>
          </w:tcPr>
          <w:p w14:paraId="08A9C991" w14:textId="18783407"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6.8</w:t>
            </w:r>
          </w:p>
        </w:tc>
        <w:tc>
          <w:tcPr>
            <w:tcW w:w="992" w:type="dxa"/>
            <w:tcBorders>
              <w:top w:val="nil"/>
              <w:left w:val="nil"/>
              <w:bottom w:val="nil"/>
              <w:right w:val="nil"/>
            </w:tcBorders>
            <w:shd w:val="clear" w:color="auto" w:fill="auto"/>
            <w:vAlign w:val="center"/>
          </w:tcPr>
          <w:p w14:paraId="74A67279" w14:textId="587729D9"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7.3</w:t>
            </w:r>
          </w:p>
        </w:tc>
      </w:tr>
      <w:tr w:rsidR="00691911" w:rsidRPr="00B2550C" w14:paraId="4A129DAF" w14:textId="77777777" w:rsidTr="007153F6">
        <w:trPr>
          <w:trHeight w:hRule="exact" w:val="576"/>
        </w:trPr>
        <w:tc>
          <w:tcPr>
            <w:tcW w:w="3248" w:type="dxa"/>
            <w:shd w:val="clear" w:color="auto" w:fill="auto"/>
            <w:noWrap/>
            <w:vAlign w:val="center"/>
          </w:tcPr>
          <w:p w14:paraId="1C28088E" w14:textId="728AFF2B"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Households</w:t>
            </w:r>
          </w:p>
        </w:tc>
        <w:tc>
          <w:tcPr>
            <w:tcW w:w="992" w:type="dxa"/>
            <w:tcBorders>
              <w:top w:val="nil"/>
              <w:left w:val="nil"/>
              <w:bottom w:val="nil"/>
              <w:right w:val="nil"/>
            </w:tcBorders>
            <w:shd w:val="clear" w:color="auto" w:fill="auto"/>
            <w:vAlign w:val="center"/>
          </w:tcPr>
          <w:p w14:paraId="46DD0168" w14:textId="3A84E329"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0.7</w:t>
            </w:r>
          </w:p>
        </w:tc>
        <w:tc>
          <w:tcPr>
            <w:tcW w:w="992" w:type="dxa"/>
            <w:tcBorders>
              <w:top w:val="nil"/>
              <w:left w:val="nil"/>
              <w:bottom w:val="nil"/>
              <w:right w:val="nil"/>
            </w:tcBorders>
            <w:shd w:val="clear" w:color="auto" w:fill="auto"/>
            <w:vAlign w:val="center"/>
          </w:tcPr>
          <w:p w14:paraId="278BDA1C" w14:textId="2E00FB59"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0.7</w:t>
            </w:r>
          </w:p>
        </w:tc>
        <w:tc>
          <w:tcPr>
            <w:tcW w:w="992" w:type="dxa"/>
            <w:tcBorders>
              <w:top w:val="nil"/>
              <w:left w:val="nil"/>
              <w:bottom w:val="nil"/>
              <w:right w:val="nil"/>
            </w:tcBorders>
            <w:shd w:val="clear" w:color="auto" w:fill="auto"/>
            <w:vAlign w:val="center"/>
          </w:tcPr>
          <w:p w14:paraId="3B3B2A28" w14:textId="73AE2DF2"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0.7</w:t>
            </w:r>
          </w:p>
        </w:tc>
        <w:tc>
          <w:tcPr>
            <w:tcW w:w="992" w:type="dxa"/>
            <w:tcBorders>
              <w:top w:val="nil"/>
              <w:left w:val="nil"/>
              <w:bottom w:val="nil"/>
              <w:right w:val="nil"/>
            </w:tcBorders>
            <w:shd w:val="clear" w:color="auto" w:fill="auto"/>
            <w:vAlign w:val="center"/>
          </w:tcPr>
          <w:p w14:paraId="67CD0D08" w14:textId="4A655582"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0.7</w:t>
            </w:r>
          </w:p>
        </w:tc>
        <w:tc>
          <w:tcPr>
            <w:tcW w:w="992" w:type="dxa"/>
            <w:tcBorders>
              <w:top w:val="nil"/>
              <w:left w:val="nil"/>
              <w:bottom w:val="nil"/>
              <w:right w:val="nil"/>
            </w:tcBorders>
            <w:shd w:val="clear" w:color="auto" w:fill="auto"/>
            <w:vAlign w:val="center"/>
          </w:tcPr>
          <w:p w14:paraId="4079D734" w14:textId="65360D6F"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0.6</w:t>
            </w:r>
          </w:p>
        </w:tc>
        <w:tc>
          <w:tcPr>
            <w:tcW w:w="992" w:type="dxa"/>
            <w:tcBorders>
              <w:top w:val="nil"/>
              <w:left w:val="nil"/>
              <w:bottom w:val="nil"/>
              <w:right w:val="nil"/>
            </w:tcBorders>
            <w:shd w:val="clear" w:color="auto" w:fill="auto"/>
            <w:vAlign w:val="center"/>
          </w:tcPr>
          <w:p w14:paraId="1D41C3EE" w14:textId="6AA9F65B"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0.6</w:t>
            </w:r>
          </w:p>
        </w:tc>
        <w:tc>
          <w:tcPr>
            <w:tcW w:w="992" w:type="dxa"/>
            <w:tcBorders>
              <w:top w:val="nil"/>
              <w:left w:val="nil"/>
              <w:bottom w:val="nil"/>
              <w:right w:val="nil"/>
            </w:tcBorders>
            <w:shd w:val="clear" w:color="auto" w:fill="auto"/>
            <w:vAlign w:val="center"/>
          </w:tcPr>
          <w:p w14:paraId="7F06335C" w14:textId="26F2F378"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0.6</w:t>
            </w:r>
          </w:p>
        </w:tc>
        <w:tc>
          <w:tcPr>
            <w:tcW w:w="992" w:type="dxa"/>
            <w:tcBorders>
              <w:top w:val="nil"/>
              <w:left w:val="nil"/>
              <w:bottom w:val="nil"/>
              <w:right w:val="nil"/>
            </w:tcBorders>
            <w:shd w:val="clear" w:color="auto" w:fill="auto"/>
            <w:vAlign w:val="center"/>
          </w:tcPr>
          <w:p w14:paraId="2BED4F94" w14:textId="3C922D59"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0.7</w:t>
            </w:r>
          </w:p>
        </w:tc>
      </w:tr>
      <w:tr w:rsidR="00691911" w:rsidRPr="006D7B16" w14:paraId="77AA4394" w14:textId="77777777" w:rsidTr="00691911">
        <w:trPr>
          <w:trHeight w:hRule="exact" w:val="288"/>
        </w:trPr>
        <w:tc>
          <w:tcPr>
            <w:tcW w:w="3248" w:type="dxa"/>
            <w:tcBorders>
              <w:bottom w:val="single" w:sz="4" w:space="0" w:color="D6A461" w:themeColor="text2"/>
            </w:tcBorders>
            <w:shd w:val="clear" w:color="auto" w:fill="D9D9D9"/>
            <w:noWrap/>
            <w:vAlign w:val="center"/>
            <w:hideMark/>
          </w:tcPr>
          <w:p w14:paraId="47380FE6"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GDP</w:t>
            </w:r>
          </w:p>
        </w:tc>
        <w:tc>
          <w:tcPr>
            <w:tcW w:w="992" w:type="dxa"/>
            <w:tcBorders>
              <w:top w:val="nil"/>
              <w:left w:val="nil"/>
              <w:bottom w:val="single" w:sz="4" w:space="0" w:color="D6A461"/>
              <w:right w:val="nil"/>
            </w:tcBorders>
            <w:shd w:val="clear" w:color="000000" w:fill="D9D9D9"/>
            <w:vAlign w:val="center"/>
          </w:tcPr>
          <w:p w14:paraId="4CC6D5C7" w14:textId="4575FE42" w:rsidR="00691911" w:rsidRPr="00B45201" w:rsidRDefault="00691911" w:rsidP="00691911">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92" w:type="dxa"/>
            <w:tcBorders>
              <w:top w:val="nil"/>
              <w:left w:val="nil"/>
              <w:bottom w:val="single" w:sz="4" w:space="0" w:color="D6A461"/>
              <w:right w:val="nil"/>
            </w:tcBorders>
            <w:shd w:val="clear" w:color="000000" w:fill="D9D9D9"/>
            <w:vAlign w:val="center"/>
          </w:tcPr>
          <w:p w14:paraId="03040A5D" w14:textId="7B5F3251" w:rsidR="00691911" w:rsidRPr="00B45201" w:rsidRDefault="00691911" w:rsidP="00691911">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92" w:type="dxa"/>
            <w:tcBorders>
              <w:top w:val="nil"/>
              <w:left w:val="nil"/>
              <w:bottom w:val="single" w:sz="4" w:space="0" w:color="D6A461"/>
              <w:right w:val="nil"/>
            </w:tcBorders>
            <w:shd w:val="clear" w:color="000000" w:fill="D9D9D9"/>
            <w:vAlign w:val="center"/>
          </w:tcPr>
          <w:p w14:paraId="4D0E47CF" w14:textId="22C7A3BC" w:rsidR="00691911" w:rsidRPr="00B45201" w:rsidRDefault="00691911" w:rsidP="00691911">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92" w:type="dxa"/>
            <w:tcBorders>
              <w:top w:val="nil"/>
              <w:left w:val="nil"/>
              <w:bottom w:val="single" w:sz="4" w:space="0" w:color="D6A461"/>
              <w:right w:val="nil"/>
            </w:tcBorders>
            <w:shd w:val="clear" w:color="000000" w:fill="D9D9D9"/>
            <w:vAlign w:val="center"/>
          </w:tcPr>
          <w:p w14:paraId="37E5A89E" w14:textId="5E9A1D65" w:rsidR="00691911" w:rsidRPr="00B45201" w:rsidRDefault="00691911" w:rsidP="00691911">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92" w:type="dxa"/>
            <w:tcBorders>
              <w:top w:val="nil"/>
              <w:left w:val="nil"/>
              <w:bottom w:val="single" w:sz="4" w:space="0" w:color="D6A461"/>
              <w:right w:val="nil"/>
            </w:tcBorders>
            <w:shd w:val="clear" w:color="000000" w:fill="D9D9D9"/>
            <w:vAlign w:val="center"/>
          </w:tcPr>
          <w:p w14:paraId="00828CC5" w14:textId="4EF20EFF" w:rsidR="00691911" w:rsidRPr="00B45201" w:rsidRDefault="00691911" w:rsidP="00691911">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92" w:type="dxa"/>
            <w:tcBorders>
              <w:top w:val="nil"/>
              <w:left w:val="nil"/>
              <w:bottom w:val="single" w:sz="4" w:space="0" w:color="D6A461"/>
              <w:right w:val="nil"/>
            </w:tcBorders>
            <w:shd w:val="clear" w:color="000000" w:fill="D9D9D9"/>
            <w:vAlign w:val="center"/>
          </w:tcPr>
          <w:p w14:paraId="2B5F0D1A" w14:textId="362F284F" w:rsidR="00691911" w:rsidRPr="00B45201" w:rsidRDefault="00691911" w:rsidP="00691911">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92" w:type="dxa"/>
            <w:tcBorders>
              <w:top w:val="nil"/>
              <w:left w:val="nil"/>
              <w:bottom w:val="single" w:sz="4" w:space="0" w:color="D6A461"/>
              <w:right w:val="nil"/>
            </w:tcBorders>
            <w:shd w:val="clear" w:color="000000" w:fill="D9D9D9"/>
            <w:vAlign w:val="center"/>
          </w:tcPr>
          <w:p w14:paraId="78866660" w14:textId="4EE20DA9" w:rsidR="00691911" w:rsidRPr="00B45201" w:rsidRDefault="00691911" w:rsidP="00691911">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92" w:type="dxa"/>
            <w:tcBorders>
              <w:top w:val="nil"/>
              <w:left w:val="nil"/>
              <w:bottom w:val="single" w:sz="4" w:space="0" w:color="D6A461"/>
              <w:right w:val="nil"/>
            </w:tcBorders>
            <w:shd w:val="clear" w:color="000000" w:fill="DADDDF"/>
            <w:vAlign w:val="center"/>
          </w:tcPr>
          <w:p w14:paraId="5712649A" w14:textId="60BE50CC" w:rsidR="00691911" w:rsidRPr="00B45201" w:rsidRDefault="00691911" w:rsidP="00691911">
            <w:pPr>
              <w:jc w:val="right"/>
              <w:rPr>
                <w:rFonts w:asciiTheme="majorHAnsi" w:hAnsiTheme="majorHAnsi" w:cstheme="majorHAnsi"/>
                <w:b/>
                <w:bCs/>
                <w:color w:val="595959"/>
                <w:sz w:val="20"/>
                <w:szCs w:val="20"/>
                <w:rtl/>
              </w:rPr>
            </w:pPr>
            <w:r>
              <w:rPr>
                <w:rFonts w:ascii="Tahoma" w:hAnsi="Tahoma" w:cs="Tahoma"/>
                <w:b/>
                <w:bCs/>
                <w:color w:val="595959"/>
                <w:sz w:val="20"/>
                <w:szCs w:val="20"/>
              </w:rPr>
              <w:t>100</w:t>
            </w:r>
          </w:p>
        </w:tc>
      </w:tr>
    </w:tbl>
    <w:p w14:paraId="59EF8A96" w14:textId="77777777" w:rsidR="00117AE3" w:rsidRDefault="00117AE3" w:rsidP="00917809">
      <w:pPr>
        <w:pStyle w:val="EcoSourceNote"/>
      </w:pPr>
    </w:p>
    <w:p w14:paraId="55A48637" w14:textId="77777777" w:rsidR="00117AE3" w:rsidRPr="00757155" w:rsidRDefault="00117AE3" w:rsidP="00917809">
      <w:pPr>
        <w:pStyle w:val="EcoSourceNote"/>
      </w:pPr>
      <w:r w:rsidRPr="00757155">
        <w:t>Source: Statistics Centre - Abu Dhabi</w:t>
      </w:r>
    </w:p>
    <w:p w14:paraId="23BDD123" w14:textId="77777777" w:rsidR="00117AE3" w:rsidRDefault="00117AE3" w:rsidP="00917809">
      <w:pPr>
        <w:pStyle w:val="EcoTableChartNotes"/>
      </w:pPr>
      <w:r w:rsidRPr="00757155">
        <w:t>*Preliminary estimates</w:t>
      </w:r>
    </w:p>
    <w:p w14:paraId="56590D30" w14:textId="77777777" w:rsidR="004210F4" w:rsidRPr="004210F4" w:rsidRDefault="004210F4" w:rsidP="004210F4">
      <w:pPr>
        <w:rPr>
          <w:rFonts w:ascii="Arial" w:eastAsia="Calibri" w:hAnsi="Arial" w:cs="Tahoma"/>
          <w:color w:val="595959" w:themeColor="text1"/>
          <w:sz w:val="18"/>
          <w:szCs w:val="18"/>
          <w:lang w:val="en-GB" w:eastAsia="en-GB" w:bidi="ar-AE"/>
        </w:rPr>
      </w:pPr>
      <w:r w:rsidRPr="004210F4">
        <w:rPr>
          <w:rFonts w:ascii="Arial" w:eastAsia="Calibri" w:hAnsi="Arial" w:cs="Tahoma"/>
          <w:b/>
          <w:bCs/>
          <w:color w:val="595959" w:themeColor="text1"/>
          <w:sz w:val="18"/>
          <w:szCs w:val="18"/>
          <w:lang w:val="en-GB" w:eastAsia="en-GB" w:bidi="ar-AE"/>
        </w:rPr>
        <w:t>Note</w:t>
      </w:r>
      <w:r w:rsidRPr="004210F4">
        <w:rPr>
          <w:rFonts w:ascii="Arial" w:eastAsia="Calibri" w:hAnsi="Arial" w:cs="Tahoma"/>
          <w:color w:val="595959" w:themeColor="text1"/>
          <w:sz w:val="18"/>
          <w:szCs w:val="18"/>
          <w:lang w:val="en-GB" w:eastAsia="en-GB" w:bidi="ar-AE"/>
        </w:rPr>
        <w:t>: Totals may not add to 100 due to rounding.</w:t>
      </w:r>
    </w:p>
    <w:p w14:paraId="3E175E3F" w14:textId="77777777" w:rsidR="001122E4" w:rsidRPr="001122E4" w:rsidRDefault="001122E4" w:rsidP="00917809">
      <w:pPr>
        <w:pStyle w:val="EcoTableChartNotes"/>
      </w:pPr>
    </w:p>
    <w:p w14:paraId="21877752" w14:textId="77777777" w:rsidR="00117AE3" w:rsidRPr="00B2550C" w:rsidRDefault="00117AE3" w:rsidP="00117AE3">
      <w:pPr>
        <w:autoSpaceDE w:val="0"/>
        <w:autoSpaceDN w:val="0"/>
        <w:adjustRightInd w:val="0"/>
        <w:spacing w:after="0" w:line="240" w:lineRule="auto"/>
        <w:contextualSpacing/>
        <w:rPr>
          <w:rFonts w:ascii="Arial" w:eastAsia="Calibri" w:hAnsi="Arial"/>
          <w:b/>
          <w:color w:val="595959"/>
          <w:sz w:val="20"/>
          <w:szCs w:val="20"/>
        </w:rPr>
      </w:pPr>
    </w:p>
    <w:p w14:paraId="64F955DC" w14:textId="77777777" w:rsidR="00117AE3" w:rsidRPr="00B2550C" w:rsidRDefault="00117AE3" w:rsidP="00755BFC">
      <w:pPr>
        <w:autoSpaceDE w:val="0"/>
        <w:autoSpaceDN w:val="0"/>
        <w:adjustRightInd w:val="0"/>
        <w:spacing w:after="0" w:line="240" w:lineRule="auto"/>
        <w:ind w:hanging="810"/>
        <w:contextualSpacing/>
        <w:rPr>
          <w:rFonts w:ascii="Arial" w:eastAsia="Calibri" w:hAnsi="Arial"/>
          <w:b/>
          <w:color w:val="595959"/>
        </w:rPr>
      </w:pPr>
      <w:r w:rsidRPr="0047511F">
        <w:rPr>
          <w:rFonts w:ascii="Arial" w:eastAsia="Calibri" w:hAnsi="Arial"/>
          <w:b/>
          <w:color w:val="D6A461" w:themeColor="text2"/>
        </w:rPr>
        <w:t xml:space="preserve">Table 10: </w:t>
      </w:r>
      <w:r w:rsidRPr="00B2550C">
        <w:rPr>
          <w:rFonts w:ascii="Arial" w:eastAsia="Calibri" w:hAnsi="Arial"/>
          <w:b/>
          <w:color w:val="595959"/>
        </w:rPr>
        <w:t>Percentage change in Gross Domestic Product by sectors at constant 2007 prices</w:t>
      </w:r>
      <w:r w:rsidRPr="0047511F">
        <w:rPr>
          <w:rFonts w:ascii="Arial" w:eastAsia="Calibri" w:hAnsi="Arial"/>
          <w:b/>
          <w:color w:val="C00000"/>
        </w:rPr>
        <w:t>*</w:t>
      </w:r>
    </w:p>
    <w:p w14:paraId="4C5FC74A" w14:textId="77777777" w:rsidR="00117AE3" w:rsidRPr="00B2550C" w:rsidRDefault="00117AE3" w:rsidP="00755BFC">
      <w:pPr>
        <w:spacing w:after="0" w:line="240" w:lineRule="auto"/>
        <w:ind w:left="-576" w:hanging="234"/>
        <w:rPr>
          <w:rFonts w:ascii="Arial" w:hAnsi="Arial"/>
          <w:color w:val="595959"/>
          <w:sz w:val="20"/>
          <w:szCs w:val="20"/>
        </w:rPr>
      </w:pPr>
      <w:r w:rsidRPr="00B2550C">
        <w:rPr>
          <w:rFonts w:ascii="Arial" w:hAnsi="Arial"/>
          <w:color w:val="595959"/>
          <w:sz w:val="20"/>
          <w:szCs w:val="20"/>
        </w:rPr>
        <w:t>Percentage change from the same quarter of the previous year</w:t>
      </w:r>
    </w:p>
    <w:tbl>
      <w:tblPr>
        <w:tblW w:w="10687" w:type="dxa"/>
        <w:tblInd w:w="-882" w:type="dxa"/>
        <w:tblLook w:val="04A0" w:firstRow="1" w:lastRow="0" w:firstColumn="1" w:lastColumn="0" w:noHBand="0" w:noVBand="1"/>
      </w:tblPr>
      <w:tblGrid>
        <w:gridCol w:w="5101"/>
        <w:gridCol w:w="1266"/>
        <w:gridCol w:w="1104"/>
        <w:gridCol w:w="1050"/>
        <w:gridCol w:w="1050"/>
        <w:gridCol w:w="1116"/>
      </w:tblGrid>
      <w:tr w:rsidR="00691911" w:rsidRPr="00B2550C" w14:paraId="193B1956" w14:textId="77777777" w:rsidTr="00B40046">
        <w:trPr>
          <w:trHeight w:val="387"/>
        </w:trPr>
        <w:tc>
          <w:tcPr>
            <w:tcW w:w="5101" w:type="dxa"/>
            <w:shd w:val="clear" w:color="auto" w:fill="D6A461" w:themeFill="text2"/>
            <w:noWrap/>
            <w:vAlign w:val="center"/>
            <w:hideMark/>
          </w:tcPr>
          <w:p w14:paraId="116D5114" w14:textId="2BBE84A9"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Sector</w:t>
            </w:r>
            <w:r>
              <w:rPr>
                <w:rFonts w:ascii="Tahoma" w:hAnsi="Tahoma" w:cs="Tahoma"/>
                <w:b/>
                <w:bCs/>
                <w:color w:val="FFFFFF"/>
                <w:sz w:val="20"/>
                <w:szCs w:val="20"/>
              </w:rPr>
              <w:br/>
              <w:t>Seasonally adjusted</w:t>
            </w:r>
          </w:p>
        </w:tc>
        <w:tc>
          <w:tcPr>
            <w:tcW w:w="1266" w:type="dxa"/>
            <w:shd w:val="clear" w:color="auto" w:fill="D6A461" w:themeFill="text2"/>
            <w:vAlign w:val="center"/>
          </w:tcPr>
          <w:p w14:paraId="29CC3506" w14:textId="71F06613"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1 2018</w:t>
            </w:r>
          </w:p>
        </w:tc>
        <w:tc>
          <w:tcPr>
            <w:tcW w:w="1104" w:type="dxa"/>
            <w:shd w:val="clear" w:color="auto" w:fill="D6A461" w:themeFill="text2"/>
            <w:vAlign w:val="center"/>
          </w:tcPr>
          <w:p w14:paraId="1A1AE8F8" w14:textId="53AC98D9"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2 2018</w:t>
            </w:r>
          </w:p>
        </w:tc>
        <w:tc>
          <w:tcPr>
            <w:tcW w:w="1050" w:type="dxa"/>
            <w:shd w:val="clear" w:color="auto" w:fill="D6A461" w:themeFill="text2"/>
            <w:vAlign w:val="center"/>
          </w:tcPr>
          <w:p w14:paraId="15683801" w14:textId="415EC778"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3 2018</w:t>
            </w:r>
          </w:p>
        </w:tc>
        <w:tc>
          <w:tcPr>
            <w:tcW w:w="1050" w:type="dxa"/>
            <w:shd w:val="clear" w:color="auto" w:fill="D6A461" w:themeFill="text2"/>
            <w:vAlign w:val="center"/>
          </w:tcPr>
          <w:p w14:paraId="5A3943E5" w14:textId="4F77A628"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hint="cs"/>
                <w:b/>
                <w:bCs/>
                <w:color w:val="FFFFFF"/>
                <w:sz w:val="18"/>
                <w:szCs w:val="18"/>
                <w:rtl/>
              </w:rPr>
              <w:t>4</w:t>
            </w:r>
            <w:r>
              <w:rPr>
                <w:rFonts w:ascii="Tahoma" w:hAnsi="Tahoma" w:cs="Tahoma"/>
                <w:b/>
                <w:bCs/>
                <w:color w:val="FFFFFF"/>
                <w:sz w:val="18"/>
                <w:szCs w:val="18"/>
              </w:rPr>
              <w:t xml:space="preserve"> 2018</w:t>
            </w:r>
          </w:p>
        </w:tc>
        <w:tc>
          <w:tcPr>
            <w:tcW w:w="1116" w:type="dxa"/>
            <w:shd w:val="clear" w:color="auto" w:fill="D6A461" w:themeFill="text2"/>
            <w:vAlign w:val="center"/>
          </w:tcPr>
          <w:p w14:paraId="61EE979C" w14:textId="4C4D9C93"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1 2019</w:t>
            </w:r>
          </w:p>
        </w:tc>
      </w:tr>
      <w:tr w:rsidR="00691911" w:rsidRPr="00B2550C" w14:paraId="580BD13B" w14:textId="77777777" w:rsidTr="00B40046">
        <w:trPr>
          <w:trHeight w:hRule="exact" w:val="444"/>
        </w:trPr>
        <w:tc>
          <w:tcPr>
            <w:tcW w:w="5101" w:type="dxa"/>
            <w:shd w:val="clear" w:color="auto" w:fill="auto"/>
            <w:noWrap/>
            <w:vAlign w:val="center"/>
          </w:tcPr>
          <w:p w14:paraId="0B47ADAB" w14:textId="1568AFD3"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 xml:space="preserve">Non-financial </w:t>
            </w:r>
          </w:p>
        </w:tc>
        <w:tc>
          <w:tcPr>
            <w:tcW w:w="1266" w:type="dxa"/>
            <w:tcBorders>
              <w:top w:val="nil"/>
              <w:left w:val="nil"/>
              <w:bottom w:val="nil"/>
              <w:right w:val="nil"/>
            </w:tcBorders>
            <w:shd w:val="clear" w:color="auto" w:fill="auto"/>
            <w:vAlign w:val="center"/>
          </w:tcPr>
          <w:p w14:paraId="57DE4027" w14:textId="545CFB55" w:rsidR="00691911" w:rsidRPr="00D17672" w:rsidRDefault="00691911" w:rsidP="00691911">
            <w:pPr>
              <w:jc w:val="right"/>
              <w:rPr>
                <w:rFonts w:ascii="Tahoma" w:hAnsi="Tahoma" w:cs="Tahoma"/>
                <w:color w:val="595959"/>
                <w:sz w:val="20"/>
                <w:szCs w:val="20"/>
                <w:rtl/>
              </w:rPr>
            </w:pPr>
            <w:r>
              <w:rPr>
                <w:rFonts w:ascii="Tahoma" w:hAnsi="Tahoma" w:cs="Tahoma"/>
                <w:color w:val="6D6E71"/>
                <w:sz w:val="20"/>
                <w:szCs w:val="20"/>
              </w:rPr>
              <w:t>-0.3</w:t>
            </w:r>
          </w:p>
        </w:tc>
        <w:tc>
          <w:tcPr>
            <w:tcW w:w="1104" w:type="dxa"/>
            <w:tcBorders>
              <w:top w:val="nil"/>
              <w:left w:val="nil"/>
              <w:bottom w:val="nil"/>
              <w:right w:val="nil"/>
            </w:tcBorders>
            <w:shd w:val="clear" w:color="auto" w:fill="auto"/>
            <w:vAlign w:val="center"/>
          </w:tcPr>
          <w:p w14:paraId="044FF981" w14:textId="6B12C6F5"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tl/>
              </w:rPr>
              <w:t>1.3</w:t>
            </w:r>
          </w:p>
        </w:tc>
        <w:tc>
          <w:tcPr>
            <w:tcW w:w="1050" w:type="dxa"/>
            <w:tcBorders>
              <w:top w:val="nil"/>
              <w:left w:val="nil"/>
              <w:bottom w:val="nil"/>
              <w:right w:val="nil"/>
            </w:tcBorders>
            <w:shd w:val="clear" w:color="auto" w:fill="auto"/>
            <w:vAlign w:val="center"/>
          </w:tcPr>
          <w:p w14:paraId="0B237B78" w14:textId="014BA145"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tl/>
              </w:rPr>
              <w:t>3.1</w:t>
            </w:r>
          </w:p>
        </w:tc>
        <w:tc>
          <w:tcPr>
            <w:tcW w:w="1050" w:type="dxa"/>
            <w:tcBorders>
              <w:top w:val="nil"/>
              <w:left w:val="nil"/>
              <w:bottom w:val="nil"/>
              <w:right w:val="nil"/>
            </w:tcBorders>
            <w:shd w:val="clear" w:color="auto" w:fill="auto"/>
            <w:vAlign w:val="center"/>
          </w:tcPr>
          <w:p w14:paraId="6B446782" w14:textId="55E4A08F"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4.2</w:t>
            </w:r>
          </w:p>
        </w:tc>
        <w:tc>
          <w:tcPr>
            <w:tcW w:w="1116" w:type="dxa"/>
            <w:tcBorders>
              <w:top w:val="nil"/>
              <w:left w:val="nil"/>
              <w:bottom w:val="nil"/>
              <w:right w:val="nil"/>
            </w:tcBorders>
            <w:shd w:val="clear" w:color="auto" w:fill="auto"/>
            <w:vAlign w:val="center"/>
          </w:tcPr>
          <w:p w14:paraId="3A43D9EB" w14:textId="4C5C3AD5" w:rsidR="00691911" w:rsidRPr="00D17672" w:rsidRDefault="00691911" w:rsidP="00691911">
            <w:pPr>
              <w:bidi/>
              <w:rPr>
                <w:rFonts w:ascii="Tahoma" w:hAnsi="Tahoma" w:cs="Tahoma"/>
                <w:color w:val="595959"/>
                <w:sz w:val="20"/>
                <w:szCs w:val="20"/>
                <w:rtl/>
              </w:rPr>
            </w:pPr>
            <w:r>
              <w:rPr>
                <w:rFonts w:ascii="Tahoma" w:hAnsi="Tahoma" w:cs="Tahoma"/>
                <w:color w:val="6D6E71"/>
                <w:sz w:val="20"/>
                <w:szCs w:val="20"/>
                <w:rtl/>
              </w:rPr>
              <w:t>6.7</w:t>
            </w:r>
          </w:p>
        </w:tc>
      </w:tr>
      <w:tr w:rsidR="00691911" w:rsidRPr="00B2550C" w14:paraId="66D5571B" w14:textId="77777777" w:rsidTr="00B40046">
        <w:trPr>
          <w:trHeight w:hRule="exact" w:val="444"/>
        </w:trPr>
        <w:tc>
          <w:tcPr>
            <w:tcW w:w="5101" w:type="dxa"/>
            <w:shd w:val="clear" w:color="auto" w:fill="auto"/>
            <w:noWrap/>
            <w:vAlign w:val="center"/>
          </w:tcPr>
          <w:p w14:paraId="58669B80" w14:textId="6C2DEF64"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Financial companies</w:t>
            </w:r>
          </w:p>
        </w:tc>
        <w:tc>
          <w:tcPr>
            <w:tcW w:w="1266" w:type="dxa"/>
            <w:tcBorders>
              <w:top w:val="nil"/>
              <w:left w:val="nil"/>
              <w:bottom w:val="nil"/>
              <w:right w:val="nil"/>
            </w:tcBorders>
            <w:shd w:val="clear" w:color="auto" w:fill="auto"/>
            <w:vAlign w:val="center"/>
          </w:tcPr>
          <w:p w14:paraId="736859E2" w14:textId="2831FD67" w:rsidR="00691911" w:rsidRPr="00D17672" w:rsidRDefault="00691911" w:rsidP="00691911">
            <w:pPr>
              <w:jc w:val="right"/>
              <w:rPr>
                <w:rFonts w:ascii="Tahoma" w:hAnsi="Tahoma" w:cs="Tahoma"/>
                <w:color w:val="595959"/>
                <w:sz w:val="20"/>
                <w:szCs w:val="20"/>
                <w:rtl/>
              </w:rPr>
            </w:pPr>
            <w:r>
              <w:rPr>
                <w:rFonts w:ascii="Tahoma" w:hAnsi="Tahoma" w:cs="Tahoma"/>
                <w:color w:val="6D6E71"/>
                <w:sz w:val="20"/>
                <w:szCs w:val="20"/>
                <w:rtl/>
              </w:rPr>
              <w:t>3.3</w:t>
            </w:r>
          </w:p>
        </w:tc>
        <w:tc>
          <w:tcPr>
            <w:tcW w:w="1104" w:type="dxa"/>
            <w:tcBorders>
              <w:top w:val="nil"/>
              <w:left w:val="nil"/>
              <w:bottom w:val="nil"/>
              <w:right w:val="nil"/>
            </w:tcBorders>
            <w:shd w:val="clear" w:color="auto" w:fill="auto"/>
            <w:vAlign w:val="center"/>
          </w:tcPr>
          <w:p w14:paraId="054D31E2" w14:textId="5C2E59D8"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tl/>
              </w:rPr>
              <w:t>12.1</w:t>
            </w:r>
          </w:p>
        </w:tc>
        <w:tc>
          <w:tcPr>
            <w:tcW w:w="1050" w:type="dxa"/>
            <w:tcBorders>
              <w:top w:val="nil"/>
              <w:left w:val="nil"/>
              <w:bottom w:val="nil"/>
              <w:right w:val="nil"/>
            </w:tcBorders>
            <w:shd w:val="clear" w:color="auto" w:fill="auto"/>
            <w:vAlign w:val="center"/>
          </w:tcPr>
          <w:p w14:paraId="7D7F6B76" w14:textId="31D1CBA5"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-12.4</w:t>
            </w:r>
          </w:p>
        </w:tc>
        <w:tc>
          <w:tcPr>
            <w:tcW w:w="1050" w:type="dxa"/>
            <w:tcBorders>
              <w:top w:val="nil"/>
              <w:left w:val="nil"/>
              <w:bottom w:val="nil"/>
              <w:right w:val="nil"/>
            </w:tcBorders>
            <w:shd w:val="clear" w:color="auto" w:fill="auto"/>
            <w:vAlign w:val="center"/>
          </w:tcPr>
          <w:p w14:paraId="1C4A8F32" w14:textId="00EA17F4"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1.2</w:t>
            </w:r>
          </w:p>
        </w:tc>
        <w:tc>
          <w:tcPr>
            <w:tcW w:w="1116" w:type="dxa"/>
            <w:tcBorders>
              <w:top w:val="nil"/>
              <w:left w:val="nil"/>
              <w:bottom w:val="nil"/>
              <w:right w:val="nil"/>
            </w:tcBorders>
            <w:shd w:val="clear" w:color="auto" w:fill="auto"/>
            <w:vAlign w:val="center"/>
          </w:tcPr>
          <w:p w14:paraId="7364386B" w14:textId="13A7F9CB" w:rsidR="00691911" w:rsidRPr="00D17672" w:rsidRDefault="00691911" w:rsidP="00691911">
            <w:pPr>
              <w:bidi/>
              <w:rPr>
                <w:rFonts w:ascii="Tahoma" w:hAnsi="Tahoma" w:cs="Tahoma"/>
                <w:color w:val="595959"/>
                <w:sz w:val="20"/>
                <w:szCs w:val="20"/>
                <w:rtl/>
              </w:rPr>
            </w:pPr>
            <w:r>
              <w:rPr>
                <w:rFonts w:ascii="Tahoma" w:hAnsi="Tahoma" w:cs="Tahoma"/>
                <w:color w:val="6D6E71"/>
                <w:sz w:val="20"/>
                <w:szCs w:val="20"/>
                <w:rtl/>
              </w:rPr>
              <w:t>2.4</w:t>
            </w:r>
            <w:r w:rsidR="00575397">
              <w:rPr>
                <w:rFonts w:ascii="Tahoma" w:hAnsi="Tahoma" w:cs="Tahoma"/>
                <w:color w:val="6D6E71"/>
                <w:sz w:val="20"/>
                <w:szCs w:val="20"/>
              </w:rPr>
              <w:t>-</w:t>
            </w:r>
          </w:p>
        </w:tc>
      </w:tr>
      <w:tr w:rsidR="00691911" w:rsidRPr="00B2550C" w14:paraId="2DED8A60" w14:textId="77777777" w:rsidTr="00B40046">
        <w:trPr>
          <w:trHeight w:hRule="exact" w:val="444"/>
        </w:trPr>
        <w:tc>
          <w:tcPr>
            <w:tcW w:w="5101" w:type="dxa"/>
            <w:shd w:val="clear" w:color="auto" w:fill="auto"/>
            <w:noWrap/>
            <w:vAlign w:val="center"/>
          </w:tcPr>
          <w:p w14:paraId="217B98ED" w14:textId="3945C2F1"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General government</w:t>
            </w:r>
          </w:p>
        </w:tc>
        <w:tc>
          <w:tcPr>
            <w:tcW w:w="1266" w:type="dxa"/>
            <w:tcBorders>
              <w:top w:val="nil"/>
              <w:left w:val="nil"/>
              <w:bottom w:val="nil"/>
              <w:right w:val="nil"/>
            </w:tcBorders>
            <w:shd w:val="clear" w:color="auto" w:fill="auto"/>
            <w:vAlign w:val="center"/>
          </w:tcPr>
          <w:p w14:paraId="1DA68814" w14:textId="7FD053D4" w:rsidR="00691911" w:rsidRPr="00D17672" w:rsidRDefault="00691911" w:rsidP="00691911">
            <w:pPr>
              <w:jc w:val="right"/>
              <w:rPr>
                <w:rFonts w:ascii="Tahoma" w:hAnsi="Tahoma" w:cs="Tahoma"/>
                <w:color w:val="595959"/>
                <w:sz w:val="20"/>
                <w:szCs w:val="20"/>
                <w:rtl/>
              </w:rPr>
            </w:pPr>
            <w:r>
              <w:rPr>
                <w:rFonts w:ascii="Tahoma" w:hAnsi="Tahoma" w:cs="Tahoma"/>
                <w:color w:val="6D6E71"/>
                <w:sz w:val="20"/>
                <w:szCs w:val="20"/>
                <w:rtl/>
              </w:rPr>
              <w:t>1.6</w:t>
            </w:r>
          </w:p>
        </w:tc>
        <w:tc>
          <w:tcPr>
            <w:tcW w:w="1104" w:type="dxa"/>
            <w:tcBorders>
              <w:top w:val="nil"/>
              <w:left w:val="nil"/>
              <w:bottom w:val="nil"/>
              <w:right w:val="nil"/>
            </w:tcBorders>
            <w:shd w:val="clear" w:color="auto" w:fill="auto"/>
            <w:vAlign w:val="center"/>
          </w:tcPr>
          <w:p w14:paraId="18BF21CA" w14:textId="3193630B"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tl/>
              </w:rPr>
              <w:t>1.0</w:t>
            </w:r>
          </w:p>
        </w:tc>
        <w:tc>
          <w:tcPr>
            <w:tcW w:w="1050" w:type="dxa"/>
            <w:tcBorders>
              <w:top w:val="nil"/>
              <w:left w:val="nil"/>
              <w:bottom w:val="nil"/>
              <w:right w:val="nil"/>
            </w:tcBorders>
            <w:shd w:val="clear" w:color="auto" w:fill="auto"/>
            <w:vAlign w:val="center"/>
          </w:tcPr>
          <w:p w14:paraId="777FF089" w14:textId="2DD05BCC"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w:t>
            </w:r>
            <w:r>
              <w:rPr>
                <w:rFonts w:ascii="Tahoma" w:hAnsi="Tahoma" w:cs="Tahoma"/>
                <w:color w:val="6D6E71"/>
                <w:sz w:val="20"/>
                <w:szCs w:val="20"/>
                <w:rtl/>
              </w:rPr>
              <w:t>1.3</w:t>
            </w:r>
          </w:p>
        </w:tc>
        <w:tc>
          <w:tcPr>
            <w:tcW w:w="1050" w:type="dxa"/>
            <w:tcBorders>
              <w:top w:val="nil"/>
              <w:left w:val="nil"/>
              <w:bottom w:val="nil"/>
              <w:right w:val="nil"/>
            </w:tcBorders>
            <w:shd w:val="clear" w:color="auto" w:fill="auto"/>
            <w:vAlign w:val="center"/>
          </w:tcPr>
          <w:p w14:paraId="023BB3C8" w14:textId="1C159429"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Pr>
              <w:t>-2.2</w:t>
            </w:r>
          </w:p>
        </w:tc>
        <w:tc>
          <w:tcPr>
            <w:tcW w:w="1116" w:type="dxa"/>
            <w:tcBorders>
              <w:top w:val="nil"/>
              <w:left w:val="nil"/>
              <w:bottom w:val="nil"/>
              <w:right w:val="nil"/>
            </w:tcBorders>
            <w:shd w:val="clear" w:color="auto" w:fill="auto"/>
            <w:vAlign w:val="center"/>
          </w:tcPr>
          <w:p w14:paraId="476CA472" w14:textId="3E82D02D" w:rsidR="00691911" w:rsidRPr="00D17672" w:rsidRDefault="00691911" w:rsidP="00691911">
            <w:pPr>
              <w:bidi/>
              <w:rPr>
                <w:rFonts w:ascii="Tahoma" w:hAnsi="Tahoma" w:cs="Tahoma"/>
                <w:color w:val="595959"/>
                <w:sz w:val="20"/>
                <w:szCs w:val="20"/>
                <w:rtl/>
              </w:rPr>
            </w:pPr>
            <w:r>
              <w:rPr>
                <w:rFonts w:ascii="Tahoma" w:hAnsi="Tahoma" w:cs="Tahoma"/>
                <w:color w:val="6D6E71"/>
                <w:sz w:val="20"/>
                <w:szCs w:val="20"/>
                <w:rtl/>
              </w:rPr>
              <w:t>0.1</w:t>
            </w:r>
          </w:p>
        </w:tc>
      </w:tr>
      <w:tr w:rsidR="00691911" w:rsidRPr="00B2550C" w14:paraId="566705BE" w14:textId="77777777" w:rsidTr="00B40046">
        <w:trPr>
          <w:trHeight w:hRule="exact" w:val="444"/>
        </w:trPr>
        <w:tc>
          <w:tcPr>
            <w:tcW w:w="5101" w:type="dxa"/>
            <w:shd w:val="clear" w:color="auto" w:fill="auto"/>
            <w:noWrap/>
            <w:vAlign w:val="center"/>
          </w:tcPr>
          <w:p w14:paraId="0CE25101" w14:textId="44547BE1"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Households</w:t>
            </w:r>
          </w:p>
        </w:tc>
        <w:tc>
          <w:tcPr>
            <w:tcW w:w="1266" w:type="dxa"/>
            <w:tcBorders>
              <w:top w:val="nil"/>
              <w:left w:val="nil"/>
              <w:bottom w:val="nil"/>
              <w:right w:val="nil"/>
            </w:tcBorders>
            <w:shd w:val="clear" w:color="auto" w:fill="auto"/>
            <w:vAlign w:val="center"/>
          </w:tcPr>
          <w:p w14:paraId="614A5BD1" w14:textId="250D709E"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tl/>
              </w:rPr>
              <w:t>7.2</w:t>
            </w:r>
          </w:p>
        </w:tc>
        <w:tc>
          <w:tcPr>
            <w:tcW w:w="1104" w:type="dxa"/>
            <w:tcBorders>
              <w:top w:val="nil"/>
              <w:left w:val="nil"/>
              <w:bottom w:val="nil"/>
              <w:right w:val="nil"/>
            </w:tcBorders>
            <w:shd w:val="clear" w:color="auto" w:fill="auto"/>
            <w:vAlign w:val="center"/>
          </w:tcPr>
          <w:p w14:paraId="7CB15390" w14:textId="711BC776"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tl/>
              </w:rPr>
              <w:t>5.7</w:t>
            </w:r>
          </w:p>
        </w:tc>
        <w:tc>
          <w:tcPr>
            <w:tcW w:w="1050" w:type="dxa"/>
            <w:tcBorders>
              <w:top w:val="nil"/>
              <w:left w:val="nil"/>
              <w:bottom w:val="nil"/>
              <w:right w:val="nil"/>
            </w:tcBorders>
            <w:shd w:val="clear" w:color="auto" w:fill="auto"/>
            <w:vAlign w:val="center"/>
          </w:tcPr>
          <w:p w14:paraId="39DFB812" w14:textId="4AA1D077"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tl/>
              </w:rPr>
              <w:t>4.4</w:t>
            </w:r>
          </w:p>
        </w:tc>
        <w:tc>
          <w:tcPr>
            <w:tcW w:w="1050" w:type="dxa"/>
            <w:tcBorders>
              <w:top w:val="nil"/>
              <w:left w:val="nil"/>
              <w:bottom w:val="nil"/>
              <w:right w:val="nil"/>
            </w:tcBorders>
            <w:shd w:val="clear" w:color="auto" w:fill="auto"/>
            <w:vAlign w:val="center"/>
          </w:tcPr>
          <w:p w14:paraId="56A54EA6" w14:textId="419D94CA" w:rsidR="00691911" w:rsidRPr="00D17672" w:rsidRDefault="00691911" w:rsidP="00691911">
            <w:pPr>
              <w:jc w:val="right"/>
              <w:rPr>
                <w:rFonts w:ascii="Tahoma" w:hAnsi="Tahoma" w:cs="Tahoma"/>
                <w:color w:val="595959"/>
                <w:sz w:val="20"/>
                <w:szCs w:val="20"/>
              </w:rPr>
            </w:pPr>
            <w:r>
              <w:rPr>
                <w:rFonts w:ascii="Tahoma" w:hAnsi="Tahoma" w:cs="Tahoma"/>
                <w:color w:val="6D6E71"/>
                <w:sz w:val="20"/>
                <w:szCs w:val="20"/>
                <w:rtl/>
              </w:rPr>
              <w:t>3.1</w:t>
            </w:r>
          </w:p>
        </w:tc>
        <w:tc>
          <w:tcPr>
            <w:tcW w:w="1116" w:type="dxa"/>
            <w:tcBorders>
              <w:top w:val="nil"/>
              <w:left w:val="nil"/>
              <w:bottom w:val="nil"/>
              <w:right w:val="nil"/>
            </w:tcBorders>
            <w:shd w:val="clear" w:color="auto" w:fill="auto"/>
            <w:vAlign w:val="center"/>
          </w:tcPr>
          <w:p w14:paraId="1EC7146B" w14:textId="2FE8438E" w:rsidR="00691911" w:rsidRPr="00D17672" w:rsidRDefault="00691911" w:rsidP="00691911">
            <w:pPr>
              <w:bidi/>
              <w:rPr>
                <w:rFonts w:ascii="Tahoma" w:hAnsi="Tahoma" w:cs="Tahoma"/>
                <w:color w:val="595959"/>
                <w:sz w:val="20"/>
                <w:szCs w:val="20"/>
                <w:rtl/>
              </w:rPr>
            </w:pPr>
            <w:r>
              <w:rPr>
                <w:rFonts w:ascii="Tahoma" w:hAnsi="Tahoma" w:cs="Tahoma"/>
                <w:color w:val="6D6E71"/>
                <w:sz w:val="20"/>
                <w:szCs w:val="20"/>
                <w:rtl/>
              </w:rPr>
              <w:t>3.1</w:t>
            </w:r>
          </w:p>
        </w:tc>
      </w:tr>
      <w:tr w:rsidR="00691911" w:rsidRPr="002F27C2" w14:paraId="43674E2C" w14:textId="77777777" w:rsidTr="00B40046">
        <w:trPr>
          <w:trHeight w:hRule="exact" w:val="444"/>
        </w:trPr>
        <w:tc>
          <w:tcPr>
            <w:tcW w:w="5101" w:type="dxa"/>
            <w:tcBorders>
              <w:bottom w:val="single" w:sz="4" w:space="0" w:color="D6A461" w:themeColor="text2"/>
            </w:tcBorders>
            <w:shd w:val="clear" w:color="auto" w:fill="D9D9D9"/>
            <w:noWrap/>
            <w:vAlign w:val="center"/>
            <w:hideMark/>
          </w:tcPr>
          <w:p w14:paraId="49541EB1"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GDP</w:t>
            </w:r>
          </w:p>
        </w:tc>
        <w:tc>
          <w:tcPr>
            <w:tcW w:w="1266" w:type="dxa"/>
            <w:tcBorders>
              <w:top w:val="nil"/>
              <w:left w:val="nil"/>
              <w:bottom w:val="single" w:sz="4" w:space="0" w:color="D6A461"/>
              <w:right w:val="nil"/>
            </w:tcBorders>
            <w:shd w:val="clear" w:color="000000" w:fill="DADDDF"/>
            <w:vAlign w:val="center"/>
          </w:tcPr>
          <w:p w14:paraId="3B2A4FE2" w14:textId="28E0A1AA" w:rsidR="00691911" w:rsidRPr="00B45201" w:rsidRDefault="00691911" w:rsidP="00691911">
            <w:pPr>
              <w:jc w:val="right"/>
              <w:rPr>
                <w:rFonts w:asciiTheme="majorHAnsi" w:hAnsiTheme="majorHAnsi" w:cstheme="majorHAnsi"/>
                <w:b/>
                <w:bCs/>
                <w:color w:val="6D6E71"/>
                <w:sz w:val="20"/>
                <w:szCs w:val="20"/>
                <w:rtl/>
              </w:rPr>
            </w:pPr>
            <w:r>
              <w:rPr>
                <w:rFonts w:ascii="Tahoma" w:hAnsi="Tahoma" w:cs="Tahoma"/>
                <w:b/>
                <w:bCs/>
                <w:color w:val="6D6E71"/>
                <w:sz w:val="20"/>
                <w:szCs w:val="20"/>
                <w:rtl/>
              </w:rPr>
              <w:t>0.0</w:t>
            </w:r>
          </w:p>
        </w:tc>
        <w:tc>
          <w:tcPr>
            <w:tcW w:w="1104" w:type="dxa"/>
            <w:tcBorders>
              <w:top w:val="nil"/>
              <w:left w:val="nil"/>
              <w:bottom w:val="single" w:sz="4" w:space="0" w:color="D6A461"/>
              <w:right w:val="nil"/>
            </w:tcBorders>
            <w:shd w:val="clear" w:color="000000" w:fill="DADDDF"/>
            <w:vAlign w:val="center"/>
          </w:tcPr>
          <w:p w14:paraId="614753F0" w14:textId="326D1F7E" w:rsidR="00691911" w:rsidRPr="00B45201" w:rsidRDefault="00691911" w:rsidP="00691911">
            <w:pPr>
              <w:jc w:val="right"/>
              <w:rPr>
                <w:rFonts w:asciiTheme="majorHAnsi" w:hAnsiTheme="majorHAnsi" w:cstheme="majorHAnsi"/>
                <w:b/>
                <w:bCs/>
                <w:color w:val="6D6E71"/>
                <w:sz w:val="20"/>
                <w:szCs w:val="20"/>
              </w:rPr>
            </w:pPr>
            <w:r>
              <w:rPr>
                <w:rFonts w:ascii="Tahoma" w:hAnsi="Tahoma" w:cs="Tahoma"/>
                <w:b/>
                <w:bCs/>
                <w:color w:val="6D6E71"/>
                <w:sz w:val="20"/>
                <w:szCs w:val="20"/>
                <w:rtl/>
              </w:rPr>
              <w:t>2.1</w:t>
            </w:r>
          </w:p>
        </w:tc>
        <w:tc>
          <w:tcPr>
            <w:tcW w:w="1050" w:type="dxa"/>
            <w:tcBorders>
              <w:top w:val="nil"/>
              <w:left w:val="nil"/>
              <w:bottom w:val="single" w:sz="4" w:space="0" w:color="D6A461"/>
              <w:right w:val="nil"/>
            </w:tcBorders>
            <w:shd w:val="clear" w:color="000000" w:fill="DADDDF"/>
            <w:vAlign w:val="center"/>
          </w:tcPr>
          <w:p w14:paraId="086BF8EE" w14:textId="7450FAF4" w:rsidR="00691911" w:rsidRPr="00B45201" w:rsidRDefault="00691911" w:rsidP="00691911">
            <w:pPr>
              <w:jc w:val="right"/>
              <w:rPr>
                <w:rFonts w:asciiTheme="majorHAnsi" w:hAnsiTheme="majorHAnsi" w:cstheme="majorHAnsi"/>
                <w:b/>
                <w:bCs/>
                <w:color w:val="6D6E71"/>
                <w:sz w:val="20"/>
                <w:szCs w:val="20"/>
              </w:rPr>
            </w:pPr>
            <w:r>
              <w:rPr>
                <w:rFonts w:ascii="Tahoma" w:hAnsi="Tahoma" w:cs="Tahoma"/>
                <w:b/>
                <w:bCs/>
                <w:color w:val="6D6E71"/>
                <w:sz w:val="20"/>
                <w:szCs w:val="20"/>
                <w:rtl/>
              </w:rPr>
              <w:t>1.8</w:t>
            </w:r>
          </w:p>
        </w:tc>
        <w:tc>
          <w:tcPr>
            <w:tcW w:w="1050" w:type="dxa"/>
            <w:tcBorders>
              <w:top w:val="nil"/>
              <w:left w:val="nil"/>
              <w:bottom w:val="single" w:sz="4" w:space="0" w:color="D6A461"/>
              <w:right w:val="nil"/>
            </w:tcBorders>
            <w:shd w:val="clear" w:color="000000" w:fill="DADDDF"/>
            <w:vAlign w:val="center"/>
          </w:tcPr>
          <w:p w14:paraId="313974AA" w14:textId="78F9F2B2" w:rsidR="00691911" w:rsidRPr="00B45201" w:rsidRDefault="00691911" w:rsidP="00691911">
            <w:pPr>
              <w:jc w:val="right"/>
              <w:rPr>
                <w:rFonts w:asciiTheme="majorHAnsi" w:hAnsiTheme="majorHAnsi" w:cstheme="majorHAnsi"/>
                <w:b/>
                <w:bCs/>
                <w:color w:val="6D6E71"/>
                <w:sz w:val="20"/>
                <w:szCs w:val="20"/>
              </w:rPr>
            </w:pPr>
            <w:r>
              <w:rPr>
                <w:rFonts w:ascii="Tahoma" w:hAnsi="Tahoma" w:cs="Tahoma"/>
                <w:b/>
                <w:bCs/>
                <w:color w:val="6D6E71"/>
                <w:sz w:val="20"/>
                <w:szCs w:val="20"/>
                <w:rtl/>
              </w:rPr>
              <w:t>3.7</w:t>
            </w:r>
          </w:p>
        </w:tc>
        <w:tc>
          <w:tcPr>
            <w:tcW w:w="1116" w:type="dxa"/>
            <w:tcBorders>
              <w:top w:val="nil"/>
              <w:left w:val="nil"/>
              <w:bottom w:val="single" w:sz="4" w:space="0" w:color="D6A461"/>
              <w:right w:val="nil"/>
            </w:tcBorders>
            <w:shd w:val="clear" w:color="000000" w:fill="DADDDF"/>
            <w:vAlign w:val="center"/>
          </w:tcPr>
          <w:p w14:paraId="043D6C10" w14:textId="17294E38" w:rsidR="00691911" w:rsidRPr="00B45201" w:rsidRDefault="00691911" w:rsidP="00691911">
            <w:pPr>
              <w:bidi/>
              <w:rPr>
                <w:rFonts w:asciiTheme="majorHAnsi" w:hAnsiTheme="majorHAnsi" w:cstheme="majorHAnsi"/>
                <w:b/>
                <w:bCs/>
                <w:color w:val="6D6E71"/>
                <w:sz w:val="20"/>
                <w:szCs w:val="20"/>
                <w:rtl/>
              </w:rPr>
            </w:pPr>
            <w:r>
              <w:rPr>
                <w:rFonts w:ascii="Tahoma" w:hAnsi="Tahoma" w:cs="Tahoma"/>
                <w:b/>
                <w:bCs/>
                <w:color w:val="6D6E71"/>
                <w:sz w:val="20"/>
                <w:szCs w:val="20"/>
                <w:rtl/>
              </w:rPr>
              <w:t>5.7</w:t>
            </w:r>
          </w:p>
        </w:tc>
      </w:tr>
    </w:tbl>
    <w:p w14:paraId="6D2EB5D7" w14:textId="77777777" w:rsidR="00117AE3" w:rsidRDefault="00117AE3" w:rsidP="00917809">
      <w:pPr>
        <w:pStyle w:val="EcoSourceNote"/>
      </w:pPr>
    </w:p>
    <w:p w14:paraId="3402DA5D" w14:textId="77777777" w:rsidR="00117AE3" w:rsidRPr="00757155" w:rsidRDefault="00117AE3" w:rsidP="00917809">
      <w:pPr>
        <w:pStyle w:val="EcoSourceNote"/>
      </w:pPr>
      <w:r w:rsidRPr="00757155">
        <w:t>Source: Statistics Centre - Abu Dhabi</w:t>
      </w:r>
    </w:p>
    <w:p w14:paraId="6C7FF2EE" w14:textId="77777777" w:rsidR="00117AE3" w:rsidRDefault="00117AE3" w:rsidP="00917809">
      <w:pPr>
        <w:pStyle w:val="EcoTableChartNotes"/>
      </w:pPr>
      <w:r w:rsidRPr="00757155">
        <w:t>*Preliminary estimates</w:t>
      </w:r>
    </w:p>
    <w:p w14:paraId="57938DF2" w14:textId="77777777" w:rsidR="00117AE3" w:rsidRDefault="00117AE3" w:rsidP="00117AE3">
      <w:pPr>
        <w:spacing w:after="0" w:line="360" w:lineRule="auto"/>
        <w:rPr>
          <w:rFonts w:ascii="Arial" w:eastAsia="Calibri" w:hAnsi="Arial"/>
          <w:b/>
          <w:bCs/>
          <w:color w:val="595959"/>
          <w:sz w:val="20"/>
          <w:szCs w:val="20"/>
        </w:rPr>
      </w:pPr>
    </w:p>
    <w:p w14:paraId="470D7219" w14:textId="5FBAE70F" w:rsidR="00D70B3A" w:rsidRPr="00B2550C" w:rsidRDefault="00D70B3A" w:rsidP="00D70B3A">
      <w:pPr>
        <w:autoSpaceDE w:val="0"/>
        <w:autoSpaceDN w:val="0"/>
        <w:adjustRightInd w:val="0"/>
        <w:spacing w:after="0" w:line="240" w:lineRule="auto"/>
        <w:ind w:hanging="810"/>
        <w:contextualSpacing/>
        <w:rPr>
          <w:rFonts w:ascii="Arial" w:eastAsia="Calibri" w:hAnsi="Arial"/>
          <w:b/>
          <w:color w:val="595959"/>
        </w:rPr>
      </w:pPr>
      <w:r w:rsidRPr="0047511F">
        <w:rPr>
          <w:rFonts w:ascii="Arial" w:eastAsia="Calibri" w:hAnsi="Arial"/>
          <w:b/>
          <w:color w:val="D6A461" w:themeColor="text2"/>
        </w:rPr>
        <w:t>Table 1</w:t>
      </w:r>
      <w:r>
        <w:rPr>
          <w:rFonts w:ascii="Arial" w:eastAsia="Calibri" w:hAnsi="Arial"/>
          <w:b/>
          <w:color w:val="D6A461" w:themeColor="text2"/>
        </w:rPr>
        <w:t>1</w:t>
      </w:r>
      <w:r w:rsidRPr="0047511F">
        <w:rPr>
          <w:rFonts w:ascii="Arial" w:eastAsia="Calibri" w:hAnsi="Arial"/>
          <w:b/>
          <w:color w:val="D6A461" w:themeColor="text2"/>
        </w:rPr>
        <w:t xml:space="preserve">: </w:t>
      </w:r>
      <w:r w:rsidRPr="00B2550C">
        <w:rPr>
          <w:rFonts w:ascii="Arial" w:eastAsia="Calibri" w:hAnsi="Arial"/>
          <w:b/>
          <w:color w:val="595959"/>
        </w:rPr>
        <w:t>Percentage change in Gross Domestic Product by sectors at constant 2007 prices</w:t>
      </w:r>
      <w:r w:rsidRPr="0047511F">
        <w:rPr>
          <w:rFonts w:ascii="Arial" w:eastAsia="Calibri" w:hAnsi="Arial"/>
          <w:b/>
          <w:color w:val="C00000"/>
        </w:rPr>
        <w:t>*</w:t>
      </w:r>
    </w:p>
    <w:p w14:paraId="69DF0265" w14:textId="68CDF9F3" w:rsidR="00D70B3A" w:rsidRPr="00B2550C" w:rsidRDefault="00D70B3A" w:rsidP="00D70B3A">
      <w:pPr>
        <w:spacing w:after="0" w:line="240" w:lineRule="auto"/>
        <w:ind w:left="-576" w:hanging="234"/>
        <w:rPr>
          <w:rFonts w:ascii="Arial" w:hAnsi="Arial"/>
          <w:color w:val="595959"/>
          <w:sz w:val="20"/>
          <w:szCs w:val="20"/>
        </w:rPr>
      </w:pPr>
      <w:r w:rsidRPr="00D70B3A">
        <w:rPr>
          <w:rFonts w:ascii="Arial" w:hAnsi="Arial"/>
          <w:color w:val="595959"/>
          <w:sz w:val="20"/>
          <w:szCs w:val="20"/>
        </w:rPr>
        <w:t>Percentage change from the previous quarter</w:t>
      </w:r>
    </w:p>
    <w:tbl>
      <w:tblPr>
        <w:tblW w:w="10670" w:type="dxa"/>
        <w:tblInd w:w="-882" w:type="dxa"/>
        <w:tblLook w:val="04A0" w:firstRow="1" w:lastRow="0" w:firstColumn="1" w:lastColumn="0" w:noHBand="0" w:noVBand="1"/>
      </w:tblPr>
      <w:tblGrid>
        <w:gridCol w:w="5094"/>
        <w:gridCol w:w="1264"/>
        <w:gridCol w:w="1102"/>
        <w:gridCol w:w="1048"/>
        <w:gridCol w:w="1048"/>
        <w:gridCol w:w="1114"/>
      </w:tblGrid>
      <w:tr w:rsidR="00691911" w:rsidRPr="00B2550C" w14:paraId="1326FC9A" w14:textId="77777777" w:rsidTr="00B40046">
        <w:trPr>
          <w:trHeight w:val="385"/>
        </w:trPr>
        <w:tc>
          <w:tcPr>
            <w:tcW w:w="5094" w:type="dxa"/>
            <w:shd w:val="clear" w:color="auto" w:fill="D6A461" w:themeFill="text2"/>
            <w:noWrap/>
            <w:vAlign w:val="center"/>
            <w:hideMark/>
          </w:tcPr>
          <w:p w14:paraId="2B6BCA50" w14:textId="1B6A31FA" w:rsidR="00691911" w:rsidRPr="00613257" w:rsidRDefault="00691911" w:rsidP="00691911">
            <w:pPr>
              <w:spacing w:after="0" w:line="240" w:lineRule="auto"/>
              <w:rPr>
                <w:rFonts w:ascii="Tahoma" w:hAnsi="Tahoma" w:cs="Tahoma"/>
                <w:b/>
                <w:bCs/>
                <w:color w:val="FFFFFF"/>
                <w:sz w:val="20"/>
                <w:szCs w:val="20"/>
              </w:rPr>
            </w:pPr>
            <w:r>
              <w:rPr>
                <w:rFonts w:ascii="Tahoma" w:hAnsi="Tahoma" w:cs="Tahoma"/>
                <w:b/>
                <w:bCs/>
                <w:color w:val="FFFFFF"/>
                <w:sz w:val="20"/>
                <w:szCs w:val="20"/>
              </w:rPr>
              <w:t>Sector</w:t>
            </w:r>
            <w:r>
              <w:rPr>
                <w:rFonts w:ascii="Tahoma" w:hAnsi="Tahoma" w:cs="Tahoma"/>
                <w:b/>
                <w:bCs/>
                <w:color w:val="FFFFFF"/>
                <w:sz w:val="20"/>
                <w:szCs w:val="20"/>
              </w:rPr>
              <w:br/>
              <w:t>Seasonally adjusted</w:t>
            </w:r>
          </w:p>
        </w:tc>
        <w:tc>
          <w:tcPr>
            <w:tcW w:w="1264" w:type="dxa"/>
            <w:shd w:val="clear" w:color="auto" w:fill="D6A461" w:themeFill="text2"/>
            <w:vAlign w:val="center"/>
          </w:tcPr>
          <w:p w14:paraId="613D2EEF" w14:textId="148DC6E9"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1</w:t>
            </w:r>
            <w:r w:rsidRPr="00D70B3A">
              <w:rPr>
                <w:rFonts w:ascii="Tahoma" w:hAnsi="Tahoma" w:cs="Tahoma"/>
                <w:b/>
                <w:bCs/>
                <w:color w:val="FFFFFF"/>
                <w:sz w:val="18"/>
                <w:szCs w:val="18"/>
              </w:rPr>
              <w:t xml:space="preserve"> </w:t>
            </w:r>
            <w:r>
              <w:rPr>
                <w:rFonts w:ascii="Tahoma" w:hAnsi="Tahoma" w:cs="Tahoma"/>
                <w:b/>
                <w:bCs/>
                <w:color w:val="FFFFFF"/>
                <w:sz w:val="18"/>
                <w:szCs w:val="18"/>
              </w:rPr>
              <w:t>2018</w:t>
            </w:r>
          </w:p>
        </w:tc>
        <w:tc>
          <w:tcPr>
            <w:tcW w:w="1102" w:type="dxa"/>
            <w:shd w:val="clear" w:color="auto" w:fill="D6A461" w:themeFill="text2"/>
            <w:vAlign w:val="center"/>
          </w:tcPr>
          <w:p w14:paraId="033E78CB" w14:textId="1625095E"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2</w:t>
            </w:r>
            <w:r w:rsidRPr="00D70B3A">
              <w:rPr>
                <w:rFonts w:ascii="Tahoma" w:hAnsi="Tahoma" w:cs="Tahoma"/>
                <w:b/>
                <w:bCs/>
                <w:color w:val="FFFFFF"/>
                <w:sz w:val="18"/>
                <w:szCs w:val="18"/>
              </w:rPr>
              <w:t xml:space="preserve"> </w:t>
            </w:r>
            <w:r>
              <w:rPr>
                <w:rFonts w:ascii="Tahoma" w:hAnsi="Tahoma" w:cs="Tahoma"/>
                <w:b/>
                <w:bCs/>
                <w:color w:val="FFFFFF"/>
                <w:sz w:val="18"/>
                <w:szCs w:val="18"/>
              </w:rPr>
              <w:t>2018</w:t>
            </w:r>
          </w:p>
        </w:tc>
        <w:tc>
          <w:tcPr>
            <w:tcW w:w="1048" w:type="dxa"/>
            <w:shd w:val="clear" w:color="auto" w:fill="D6A461" w:themeFill="text2"/>
            <w:vAlign w:val="center"/>
          </w:tcPr>
          <w:p w14:paraId="0EACC1CA" w14:textId="5FA85F35"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3 2018</w:t>
            </w:r>
          </w:p>
        </w:tc>
        <w:tc>
          <w:tcPr>
            <w:tcW w:w="1048" w:type="dxa"/>
            <w:shd w:val="clear" w:color="auto" w:fill="D6A461" w:themeFill="text2"/>
            <w:vAlign w:val="center"/>
          </w:tcPr>
          <w:p w14:paraId="14932526" w14:textId="56E9C8C8"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hint="cs"/>
                <w:b/>
                <w:bCs/>
                <w:color w:val="FFFFFF"/>
                <w:sz w:val="18"/>
                <w:szCs w:val="18"/>
                <w:rtl/>
              </w:rPr>
              <w:t>4</w:t>
            </w:r>
            <w:r>
              <w:rPr>
                <w:rFonts w:ascii="Tahoma" w:hAnsi="Tahoma" w:cs="Tahoma"/>
                <w:b/>
                <w:bCs/>
                <w:color w:val="FFFFFF"/>
                <w:sz w:val="18"/>
                <w:szCs w:val="18"/>
              </w:rPr>
              <w:t xml:space="preserve"> 2018</w:t>
            </w:r>
          </w:p>
        </w:tc>
        <w:tc>
          <w:tcPr>
            <w:tcW w:w="1114" w:type="dxa"/>
            <w:shd w:val="clear" w:color="auto" w:fill="D6A461" w:themeFill="text2"/>
            <w:vAlign w:val="center"/>
          </w:tcPr>
          <w:p w14:paraId="6C04E736" w14:textId="12F64B12" w:rsidR="00691911" w:rsidRPr="00D70B3A" w:rsidRDefault="00691911" w:rsidP="00691911">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1 2019</w:t>
            </w:r>
          </w:p>
        </w:tc>
      </w:tr>
      <w:tr w:rsidR="00691911" w:rsidRPr="00B2550C" w14:paraId="2AED2605" w14:textId="77777777" w:rsidTr="00B40046">
        <w:trPr>
          <w:trHeight w:hRule="exact" w:val="441"/>
        </w:trPr>
        <w:tc>
          <w:tcPr>
            <w:tcW w:w="5094" w:type="dxa"/>
            <w:shd w:val="clear" w:color="auto" w:fill="auto"/>
            <w:noWrap/>
            <w:vAlign w:val="center"/>
          </w:tcPr>
          <w:p w14:paraId="59B56EB2" w14:textId="7441A537"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 xml:space="preserve">Non-financial </w:t>
            </w:r>
          </w:p>
        </w:tc>
        <w:tc>
          <w:tcPr>
            <w:tcW w:w="1264" w:type="dxa"/>
            <w:tcBorders>
              <w:top w:val="nil"/>
              <w:left w:val="nil"/>
              <w:bottom w:val="nil"/>
              <w:right w:val="nil"/>
            </w:tcBorders>
            <w:shd w:val="clear" w:color="auto" w:fill="auto"/>
            <w:vAlign w:val="center"/>
          </w:tcPr>
          <w:p w14:paraId="206478D5" w14:textId="61E53942" w:rsidR="00691911" w:rsidRPr="00DC677F" w:rsidRDefault="00691911" w:rsidP="00691911">
            <w:pPr>
              <w:jc w:val="right"/>
              <w:rPr>
                <w:rFonts w:ascii="Tahoma" w:hAnsi="Tahoma" w:cs="Tahoma"/>
                <w:color w:val="595959"/>
                <w:sz w:val="20"/>
                <w:szCs w:val="20"/>
                <w:rtl/>
              </w:rPr>
            </w:pPr>
            <w:r>
              <w:rPr>
                <w:rFonts w:ascii="Tahoma" w:hAnsi="Tahoma" w:cs="Tahoma"/>
                <w:color w:val="6D6E71"/>
                <w:sz w:val="20"/>
                <w:szCs w:val="20"/>
                <w:rtl/>
              </w:rPr>
              <w:t>0.2</w:t>
            </w:r>
          </w:p>
        </w:tc>
        <w:tc>
          <w:tcPr>
            <w:tcW w:w="1102" w:type="dxa"/>
            <w:tcBorders>
              <w:top w:val="nil"/>
              <w:left w:val="nil"/>
              <w:bottom w:val="nil"/>
              <w:right w:val="nil"/>
            </w:tcBorders>
            <w:shd w:val="clear" w:color="auto" w:fill="auto"/>
            <w:vAlign w:val="center"/>
          </w:tcPr>
          <w:p w14:paraId="497C58DF" w14:textId="727742FD"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1.1</w:t>
            </w:r>
          </w:p>
        </w:tc>
        <w:tc>
          <w:tcPr>
            <w:tcW w:w="1048" w:type="dxa"/>
            <w:tcBorders>
              <w:top w:val="nil"/>
              <w:left w:val="nil"/>
              <w:bottom w:val="nil"/>
              <w:right w:val="nil"/>
            </w:tcBorders>
            <w:shd w:val="clear" w:color="auto" w:fill="auto"/>
            <w:vAlign w:val="center"/>
          </w:tcPr>
          <w:p w14:paraId="426A4684" w14:textId="35B17263"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1.4</w:t>
            </w:r>
          </w:p>
        </w:tc>
        <w:tc>
          <w:tcPr>
            <w:tcW w:w="1048" w:type="dxa"/>
            <w:tcBorders>
              <w:top w:val="nil"/>
              <w:left w:val="nil"/>
              <w:bottom w:val="nil"/>
              <w:right w:val="nil"/>
            </w:tcBorders>
            <w:shd w:val="clear" w:color="auto" w:fill="auto"/>
            <w:vAlign w:val="center"/>
          </w:tcPr>
          <w:p w14:paraId="02201830" w14:textId="439794B6"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Pr>
              <w:t>1.4</w:t>
            </w:r>
          </w:p>
        </w:tc>
        <w:tc>
          <w:tcPr>
            <w:tcW w:w="1114" w:type="dxa"/>
            <w:tcBorders>
              <w:top w:val="nil"/>
              <w:left w:val="nil"/>
              <w:bottom w:val="nil"/>
              <w:right w:val="nil"/>
            </w:tcBorders>
            <w:shd w:val="clear" w:color="auto" w:fill="auto"/>
            <w:vAlign w:val="center"/>
          </w:tcPr>
          <w:p w14:paraId="244CA1EF" w14:textId="6F6000FA" w:rsidR="00691911" w:rsidRPr="00DC677F" w:rsidRDefault="00691911" w:rsidP="00691911">
            <w:pPr>
              <w:bidi/>
              <w:rPr>
                <w:rFonts w:ascii="Tahoma" w:hAnsi="Tahoma" w:cs="Tahoma"/>
                <w:color w:val="595959"/>
                <w:sz w:val="20"/>
                <w:szCs w:val="20"/>
              </w:rPr>
            </w:pPr>
            <w:r>
              <w:rPr>
                <w:rFonts w:ascii="Tahoma" w:hAnsi="Tahoma" w:cs="Tahoma"/>
                <w:color w:val="6D6E71"/>
                <w:sz w:val="20"/>
                <w:szCs w:val="20"/>
                <w:rtl/>
              </w:rPr>
              <w:t>2.6</w:t>
            </w:r>
          </w:p>
        </w:tc>
      </w:tr>
      <w:tr w:rsidR="00691911" w:rsidRPr="00B2550C" w14:paraId="442B7776" w14:textId="77777777" w:rsidTr="00B40046">
        <w:trPr>
          <w:trHeight w:hRule="exact" w:val="441"/>
        </w:trPr>
        <w:tc>
          <w:tcPr>
            <w:tcW w:w="5094" w:type="dxa"/>
            <w:shd w:val="clear" w:color="auto" w:fill="auto"/>
            <w:noWrap/>
            <w:vAlign w:val="center"/>
          </w:tcPr>
          <w:p w14:paraId="66D85047" w14:textId="156C12A3"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Financial companies</w:t>
            </w:r>
          </w:p>
        </w:tc>
        <w:tc>
          <w:tcPr>
            <w:tcW w:w="1264" w:type="dxa"/>
            <w:tcBorders>
              <w:top w:val="nil"/>
              <w:left w:val="nil"/>
              <w:bottom w:val="nil"/>
              <w:right w:val="nil"/>
            </w:tcBorders>
            <w:shd w:val="clear" w:color="auto" w:fill="auto"/>
            <w:vAlign w:val="center"/>
          </w:tcPr>
          <w:p w14:paraId="138C920E" w14:textId="54CB327C" w:rsidR="00691911" w:rsidRPr="00DC677F" w:rsidRDefault="00691911" w:rsidP="00691911">
            <w:pPr>
              <w:jc w:val="right"/>
              <w:rPr>
                <w:rFonts w:ascii="Tahoma" w:hAnsi="Tahoma" w:cs="Tahoma"/>
                <w:color w:val="595959"/>
                <w:sz w:val="20"/>
                <w:szCs w:val="20"/>
                <w:rtl/>
              </w:rPr>
            </w:pPr>
            <w:r>
              <w:rPr>
                <w:rFonts w:ascii="Tahoma" w:hAnsi="Tahoma" w:cs="Tahoma"/>
                <w:color w:val="6D6E71"/>
                <w:sz w:val="20"/>
                <w:szCs w:val="20"/>
              </w:rPr>
              <w:t>-1.2</w:t>
            </w:r>
          </w:p>
        </w:tc>
        <w:tc>
          <w:tcPr>
            <w:tcW w:w="1102" w:type="dxa"/>
            <w:tcBorders>
              <w:top w:val="nil"/>
              <w:left w:val="nil"/>
              <w:bottom w:val="nil"/>
              <w:right w:val="nil"/>
            </w:tcBorders>
            <w:shd w:val="clear" w:color="auto" w:fill="auto"/>
            <w:vAlign w:val="center"/>
          </w:tcPr>
          <w:p w14:paraId="12CBE9E5" w14:textId="05900C12"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9.7</w:t>
            </w:r>
          </w:p>
        </w:tc>
        <w:tc>
          <w:tcPr>
            <w:tcW w:w="1048" w:type="dxa"/>
            <w:tcBorders>
              <w:top w:val="nil"/>
              <w:left w:val="nil"/>
              <w:bottom w:val="nil"/>
              <w:right w:val="nil"/>
            </w:tcBorders>
            <w:shd w:val="clear" w:color="auto" w:fill="auto"/>
            <w:vAlign w:val="center"/>
          </w:tcPr>
          <w:p w14:paraId="33D8C29F" w14:textId="654B9347"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Pr>
              <w:t>-</w:t>
            </w:r>
            <w:r>
              <w:rPr>
                <w:rFonts w:ascii="Tahoma" w:hAnsi="Tahoma" w:cs="Tahoma"/>
                <w:color w:val="6D6E71"/>
                <w:sz w:val="20"/>
                <w:szCs w:val="20"/>
                <w:rtl/>
              </w:rPr>
              <w:t>19.3</w:t>
            </w:r>
          </w:p>
        </w:tc>
        <w:tc>
          <w:tcPr>
            <w:tcW w:w="1048" w:type="dxa"/>
            <w:tcBorders>
              <w:top w:val="nil"/>
              <w:left w:val="nil"/>
              <w:bottom w:val="nil"/>
              <w:right w:val="nil"/>
            </w:tcBorders>
            <w:shd w:val="clear" w:color="auto" w:fill="auto"/>
            <w:vAlign w:val="center"/>
          </w:tcPr>
          <w:p w14:paraId="1DAF0BBB" w14:textId="710A78A9"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Pr>
              <w:t>15.7</w:t>
            </w:r>
          </w:p>
        </w:tc>
        <w:tc>
          <w:tcPr>
            <w:tcW w:w="1114" w:type="dxa"/>
            <w:tcBorders>
              <w:top w:val="nil"/>
              <w:left w:val="nil"/>
              <w:bottom w:val="nil"/>
              <w:right w:val="nil"/>
            </w:tcBorders>
            <w:shd w:val="clear" w:color="auto" w:fill="auto"/>
            <w:vAlign w:val="center"/>
          </w:tcPr>
          <w:p w14:paraId="5F61C0BA" w14:textId="19E5D6D0" w:rsidR="00691911" w:rsidRPr="00DC677F" w:rsidRDefault="00691911" w:rsidP="00691911">
            <w:pPr>
              <w:bidi/>
              <w:rPr>
                <w:rFonts w:ascii="Tahoma" w:hAnsi="Tahoma" w:cs="Tahoma"/>
                <w:color w:val="595959"/>
                <w:sz w:val="20"/>
                <w:szCs w:val="20"/>
                <w:rtl/>
              </w:rPr>
            </w:pPr>
            <w:r>
              <w:rPr>
                <w:rFonts w:ascii="Tahoma" w:hAnsi="Tahoma" w:cs="Tahoma"/>
                <w:color w:val="6D6E71"/>
                <w:sz w:val="20"/>
                <w:szCs w:val="20"/>
                <w:rtl/>
              </w:rPr>
              <w:t>4.6</w:t>
            </w:r>
            <w:r w:rsidR="00575397">
              <w:rPr>
                <w:rFonts w:ascii="Tahoma" w:hAnsi="Tahoma" w:cs="Tahoma"/>
                <w:color w:val="6D6E71"/>
                <w:sz w:val="20"/>
                <w:szCs w:val="20"/>
              </w:rPr>
              <w:t>-</w:t>
            </w:r>
          </w:p>
        </w:tc>
      </w:tr>
      <w:tr w:rsidR="00691911" w:rsidRPr="00B2550C" w14:paraId="41E0FA05" w14:textId="77777777" w:rsidTr="00B40046">
        <w:trPr>
          <w:trHeight w:hRule="exact" w:val="441"/>
        </w:trPr>
        <w:tc>
          <w:tcPr>
            <w:tcW w:w="5094" w:type="dxa"/>
            <w:shd w:val="clear" w:color="auto" w:fill="auto"/>
            <w:noWrap/>
            <w:vAlign w:val="center"/>
          </w:tcPr>
          <w:p w14:paraId="5292C62E" w14:textId="6E13C12B"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General government</w:t>
            </w:r>
          </w:p>
        </w:tc>
        <w:tc>
          <w:tcPr>
            <w:tcW w:w="1264" w:type="dxa"/>
            <w:tcBorders>
              <w:top w:val="nil"/>
              <w:left w:val="nil"/>
              <w:bottom w:val="nil"/>
              <w:right w:val="nil"/>
            </w:tcBorders>
            <w:shd w:val="clear" w:color="auto" w:fill="auto"/>
            <w:vAlign w:val="center"/>
          </w:tcPr>
          <w:p w14:paraId="63C9A428" w14:textId="2AA2903B" w:rsidR="00691911" w:rsidRPr="00DC677F" w:rsidRDefault="00691911" w:rsidP="00691911">
            <w:pPr>
              <w:jc w:val="right"/>
              <w:rPr>
                <w:rFonts w:ascii="Tahoma" w:hAnsi="Tahoma" w:cs="Tahoma"/>
                <w:color w:val="595959"/>
                <w:sz w:val="20"/>
                <w:szCs w:val="20"/>
                <w:rtl/>
              </w:rPr>
            </w:pPr>
            <w:r>
              <w:rPr>
                <w:rFonts w:ascii="Tahoma" w:hAnsi="Tahoma" w:cs="Tahoma"/>
                <w:color w:val="6D6E71"/>
                <w:sz w:val="20"/>
                <w:szCs w:val="20"/>
              </w:rPr>
              <w:t>-2.6</w:t>
            </w:r>
          </w:p>
        </w:tc>
        <w:tc>
          <w:tcPr>
            <w:tcW w:w="1102" w:type="dxa"/>
            <w:tcBorders>
              <w:top w:val="nil"/>
              <w:left w:val="nil"/>
              <w:bottom w:val="nil"/>
              <w:right w:val="nil"/>
            </w:tcBorders>
            <w:shd w:val="clear" w:color="auto" w:fill="auto"/>
            <w:vAlign w:val="center"/>
          </w:tcPr>
          <w:p w14:paraId="49AB7D61" w14:textId="17BBD168"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0.8</w:t>
            </w:r>
          </w:p>
        </w:tc>
        <w:tc>
          <w:tcPr>
            <w:tcW w:w="1048" w:type="dxa"/>
            <w:tcBorders>
              <w:top w:val="nil"/>
              <w:left w:val="nil"/>
              <w:bottom w:val="nil"/>
              <w:right w:val="nil"/>
            </w:tcBorders>
            <w:shd w:val="clear" w:color="auto" w:fill="auto"/>
            <w:vAlign w:val="center"/>
          </w:tcPr>
          <w:p w14:paraId="52F5CCD3" w14:textId="643919A7"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0.4</w:t>
            </w:r>
          </w:p>
        </w:tc>
        <w:tc>
          <w:tcPr>
            <w:tcW w:w="1048" w:type="dxa"/>
            <w:tcBorders>
              <w:top w:val="nil"/>
              <w:left w:val="nil"/>
              <w:bottom w:val="nil"/>
              <w:right w:val="nil"/>
            </w:tcBorders>
            <w:shd w:val="clear" w:color="auto" w:fill="auto"/>
            <w:vAlign w:val="center"/>
          </w:tcPr>
          <w:p w14:paraId="3ABFABA5" w14:textId="18B3D3A6"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0.8</w:t>
            </w:r>
            <w:r>
              <w:rPr>
                <w:rFonts w:ascii="Tahoma" w:hAnsi="Tahoma" w:cs="Tahoma"/>
                <w:color w:val="6D6E71"/>
                <w:sz w:val="20"/>
                <w:szCs w:val="20"/>
              </w:rPr>
              <w:t>-</w:t>
            </w:r>
          </w:p>
        </w:tc>
        <w:tc>
          <w:tcPr>
            <w:tcW w:w="1114" w:type="dxa"/>
            <w:tcBorders>
              <w:top w:val="nil"/>
              <w:left w:val="nil"/>
              <w:bottom w:val="nil"/>
              <w:right w:val="nil"/>
            </w:tcBorders>
            <w:shd w:val="clear" w:color="auto" w:fill="auto"/>
            <w:vAlign w:val="center"/>
          </w:tcPr>
          <w:p w14:paraId="6628AF7B" w14:textId="2BC4D7B8" w:rsidR="00691911" w:rsidRPr="00DC677F" w:rsidRDefault="00691911" w:rsidP="00691911">
            <w:pPr>
              <w:bidi/>
              <w:rPr>
                <w:rFonts w:ascii="Tahoma" w:hAnsi="Tahoma" w:cs="Tahoma"/>
                <w:color w:val="595959"/>
                <w:sz w:val="20"/>
                <w:szCs w:val="20"/>
                <w:rtl/>
              </w:rPr>
            </w:pPr>
            <w:r>
              <w:rPr>
                <w:rFonts w:ascii="Tahoma" w:hAnsi="Tahoma" w:cs="Tahoma"/>
                <w:color w:val="6D6E71"/>
                <w:sz w:val="20"/>
                <w:szCs w:val="20"/>
                <w:rtl/>
              </w:rPr>
              <w:t>0.3</w:t>
            </w:r>
            <w:r w:rsidR="00575397">
              <w:rPr>
                <w:rFonts w:ascii="Tahoma" w:hAnsi="Tahoma" w:cs="Tahoma"/>
                <w:color w:val="6D6E71"/>
                <w:sz w:val="20"/>
                <w:szCs w:val="20"/>
              </w:rPr>
              <w:t>-</w:t>
            </w:r>
          </w:p>
        </w:tc>
      </w:tr>
      <w:tr w:rsidR="00691911" w:rsidRPr="00B2550C" w14:paraId="340C751A" w14:textId="77777777" w:rsidTr="00B40046">
        <w:trPr>
          <w:trHeight w:hRule="exact" w:val="441"/>
        </w:trPr>
        <w:tc>
          <w:tcPr>
            <w:tcW w:w="5094" w:type="dxa"/>
            <w:shd w:val="clear" w:color="auto" w:fill="auto"/>
            <w:noWrap/>
            <w:vAlign w:val="center"/>
          </w:tcPr>
          <w:p w14:paraId="6EE460B7" w14:textId="06E6732E" w:rsidR="00691911" w:rsidRPr="00B45201" w:rsidRDefault="00691911" w:rsidP="00691911">
            <w:pPr>
              <w:rPr>
                <w:rFonts w:asciiTheme="majorHAnsi" w:hAnsiTheme="majorHAnsi" w:cstheme="majorHAnsi"/>
                <w:color w:val="595959"/>
                <w:sz w:val="18"/>
                <w:szCs w:val="18"/>
              </w:rPr>
            </w:pPr>
            <w:r w:rsidRPr="0016203F">
              <w:rPr>
                <w:rFonts w:ascii="Tahoma" w:hAnsi="Tahoma" w:cs="Tahoma"/>
                <w:color w:val="595959"/>
                <w:sz w:val="20"/>
                <w:szCs w:val="20"/>
              </w:rPr>
              <w:t>Households</w:t>
            </w:r>
          </w:p>
        </w:tc>
        <w:tc>
          <w:tcPr>
            <w:tcW w:w="1264" w:type="dxa"/>
            <w:tcBorders>
              <w:top w:val="nil"/>
              <w:left w:val="nil"/>
              <w:bottom w:val="nil"/>
              <w:right w:val="nil"/>
            </w:tcBorders>
            <w:shd w:val="clear" w:color="auto" w:fill="auto"/>
            <w:vAlign w:val="center"/>
          </w:tcPr>
          <w:p w14:paraId="4A5F3096" w14:textId="21A9102C"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1.2</w:t>
            </w:r>
          </w:p>
        </w:tc>
        <w:tc>
          <w:tcPr>
            <w:tcW w:w="1102" w:type="dxa"/>
            <w:tcBorders>
              <w:top w:val="nil"/>
              <w:left w:val="nil"/>
              <w:bottom w:val="nil"/>
              <w:right w:val="nil"/>
            </w:tcBorders>
            <w:shd w:val="clear" w:color="auto" w:fill="auto"/>
            <w:vAlign w:val="center"/>
          </w:tcPr>
          <w:p w14:paraId="40D7B7BE" w14:textId="01EF1492"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0.8</w:t>
            </w:r>
          </w:p>
        </w:tc>
        <w:tc>
          <w:tcPr>
            <w:tcW w:w="1048" w:type="dxa"/>
            <w:tcBorders>
              <w:top w:val="nil"/>
              <w:left w:val="nil"/>
              <w:bottom w:val="nil"/>
              <w:right w:val="nil"/>
            </w:tcBorders>
            <w:shd w:val="clear" w:color="auto" w:fill="auto"/>
            <w:vAlign w:val="center"/>
          </w:tcPr>
          <w:p w14:paraId="2EB0D847" w14:textId="0B2E911D"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0.6</w:t>
            </w:r>
          </w:p>
        </w:tc>
        <w:tc>
          <w:tcPr>
            <w:tcW w:w="1048" w:type="dxa"/>
            <w:tcBorders>
              <w:top w:val="nil"/>
              <w:left w:val="nil"/>
              <w:bottom w:val="nil"/>
              <w:right w:val="nil"/>
            </w:tcBorders>
            <w:shd w:val="clear" w:color="auto" w:fill="auto"/>
            <w:vAlign w:val="center"/>
          </w:tcPr>
          <w:p w14:paraId="5165F6FB" w14:textId="508C4F49" w:rsidR="00691911" w:rsidRPr="00DC677F" w:rsidRDefault="00691911" w:rsidP="00691911">
            <w:pPr>
              <w:jc w:val="right"/>
              <w:rPr>
                <w:rFonts w:ascii="Tahoma" w:hAnsi="Tahoma" w:cs="Tahoma"/>
                <w:color w:val="595959"/>
                <w:sz w:val="20"/>
                <w:szCs w:val="20"/>
              </w:rPr>
            </w:pPr>
            <w:r>
              <w:rPr>
                <w:rFonts w:ascii="Tahoma" w:hAnsi="Tahoma" w:cs="Tahoma"/>
                <w:color w:val="6D6E71"/>
                <w:sz w:val="20"/>
                <w:szCs w:val="20"/>
                <w:rtl/>
              </w:rPr>
              <w:t>0.6</w:t>
            </w:r>
          </w:p>
        </w:tc>
        <w:tc>
          <w:tcPr>
            <w:tcW w:w="1114" w:type="dxa"/>
            <w:tcBorders>
              <w:top w:val="nil"/>
              <w:left w:val="nil"/>
              <w:bottom w:val="nil"/>
              <w:right w:val="nil"/>
            </w:tcBorders>
            <w:shd w:val="clear" w:color="auto" w:fill="auto"/>
            <w:vAlign w:val="center"/>
          </w:tcPr>
          <w:p w14:paraId="4FC0D732" w14:textId="5804D3DF" w:rsidR="00691911" w:rsidRPr="00DC677F" w:rsidRDefault="00691911" w:rsidP="00691911">
            <w:pPr>
              <w:bidi/>
              <w:rPr>
                <w:rFonts w:ascii="Tahoma" w:hAnsi="Tahoma" w:cs="Tahoma"/>
                <w:color w:val="595959"/>
                <w:sz w:val="20"/>
                <w:szCs w:val="20"/>
                <w:rtl/>
              </w:rPr>
            </w:pPr>
            <w:r>
              <w:rPr>
                <w:rFonts w:ascii="Tahoma" w:hAnsi="Tahoma" w:cs="Tahoma"/>
                <w:color w:val="6D6E71"/>
                <w:sz w:val="20"/>
                <w:szCs w:val="20"/>
                <w:rtl/>
              </w:rPr>
              <w:t>1.1</w:t>
            </w:r>
          </w:p>
        </w:tc>
      </w:tr>
      <w:tr w:rsidR="00691911" w:rsidRPr="002F27C2" w14:paraId="55A9D555" w14:textId="77777777" w:rsidTr="00B40046">
        <w:trPr>
          <w:trHeight w:hRule="exact" w:val="441"/>
        </w:trPr>
        <w:tc>
          <w:tcPr>
            <w:tcW w:w="5094" w:type="dxa"/>
            <w:tcBorders>
              <w:bottom w:val="single" w:sz="4" w:space="0" w:color="D6A461" w:themeColor="text2"/>
            </w:tcBorders>
            <w:shd w:val="clear" w:color="auto" w:fill="D9D9D9"/>
            <w:noWrap/>
            <w:vAlign w:val="center"/>
            <w:hideMark/>
          </w:tcPr>
          <w:p w14:paraId="5CF53B6A" w14:textId="77777777" w:rsidR="00691911" w:rsidRPr="00B45201" w:rsidRDefault="00691911" w:rsidP="00691911">
            <w:pPr>
              <w:spacing w:after="0" w:line="240" w:lineRule="auto"/>
              <w:rPr>
                <w:rFonts w:asciiTheme="majorHAnsi" w:hAnsiTheme="majorHAnsi" w:cstheme="majorHAnsi"/>
                <w:b/>
                <w:bCs/>
                <w:color w:val="595959"/>
                <w:sz w:val="18"/>
                <w:szCs w:val="18"/>
              </w:rPr>
            </w:pPr>
            <w:r w:rsidRPr="00B45201">
              <w:rPr>
                <w:rFonts w:asciiTheme="majorHAnsi" w:hAnsiTheme="majorHAnsi" w:cstheme="majorHAnsi"/>
                <w:b/>
                <w:bCs/>
                <w:color w:val="595959"/>
                <w:sz w:val="18"/>
                <w:szCs w:val="18"/>
              </w:rPr>
              <w:t>GDP</w:t>
            </w:r>
          </w:p>
        </w:tc>
        <w:tc>
          <w:tcPr>
            <w:tcW w:w="1264" w:type="dxa"/>
            <w:tcBorders>
              <w:top w:val="nil"/>
              <w:left w:val="nil"/>
              <w:bottom w:val="single" w:sz="4" w:space="0" w:color="D6A461"/>
              <w:right w:val="nil"/>
            </w:tcBorders>
            <w:shd w:val="clear" w:color="000000" w:fill="DADDDF"/>
            <w:vAlign w:val="center"/>
          </w:tcPr>
          <w:p w14:paraId="46F52A99" w14:textId="41DE9115" w:rsidR="00691911" w:rsidRPr="00DC677F" w:rsidRDefault="00691911" w:rsidP="00691911">
            <w:pPr>
              <w:jc w:val="right"/>
              <w:rPr>
                <w:rFonts w:ascii="Tahoma" w:hAnsi="Tahoma" w:cs="Tahoma"/>
                <w:b/>
                <w:bCs/>
                <w:color w:val="6D6E71"/>
                <w:sz w:val="20"/>
                <w:szCs w:val="20"/>
                <w:rtl/>
              </w:rPr>
            </w:pPr>
            <w:r>
              <w:rPr>
                <w:rFonts w:ascii="Tahoma" w:hAnsi="Tahoma" w:cs="Tahoma"/>
                <w:b/>
                <w:bCs/>
                <w:color w:val="6D6E71"/>
                <w:sz w:val="20"/>
                <w:szCs w:val="20"/>
                <w:rtl/>
              </w:rPr>
              <w:t>0.0</w:t>
            </w:r>
          </w:p>
        </w:tc>
        <w:tc>
          <w:tcPr>
            <w:tcW w:w="1102" w:type="dxa"/>
            <w:tcBorders>
              <w:top w:val="nil"/>
              <w:left w:val="nil"/>
              <w:bottom w:val="single" w:sz="4" w:space="0" w:color="D6A461"/>
              <w:right w:val="nil"/>
            </w:tcBorders>
            <w:shd w:val="clear" w:color="000000" w:fill="DADDDF"/>
            <w:vAlign w:val="center"/>
          </w:tcPr>
          <w:p w14:paraId="4670084C" w14:textId="08B79C35" w:rsidR="00691911" w:rsidRPr="00DC677F" w:rsidRDefault="00691911" w:rsidP="00691911">
            <w:pPr>
              <w:jc w:val="right"/>
              <w:rPr>
                <w:rFonts w:ascii="Tahoma" w:hAnsi="Tahoma" w:cs="Tahoma"/>
                <w:b/>
                <w:bCs/>
                <w:color w:val="6D6E71"/>
                <w:sz w:val="20"/>
                <w:szCs w:val="20"/>
              </w:rPr>
            </w:pPr>
            <w:r>
              <w:rPr>
                <w:rFonts w:ascii="Tahoma" w:hAnsi="Tahoma" w:cs="Tahoma"/>
                <w:b/>
                <w:bCs/>
                <w:color w:val="6D6E71"/>
                <w:sz w:val="20"/>
                <w:szCs w:val="20"/>
                <w:rtl/>
              </w:rPr>
              <w:t>1.7</w:t>
            </w:r>
          </w:p>
        </w:tc>
        <w:tc>
          <w:tcPr>
            <w:tcW w:w="1048" w:type="dxa"/>
            <w:tcBorders>
              <w:top w:val="nil"/>
              <w:left w:val="nil"/>
              <w:bottom w:val="single" w:sz="4" w:space="0" w:color="D6A461"/>
              <w:right w:val="nil"/>
            </w:tcBorders>
            <w:shd w:val="clear" w:color="000000" w:fill="DADDDF"/>
            <w:vAlign w:val="center"/>
          </w:tcPr>
          <w:p w14:paraId="52FB27D8" w14:textId="4D21FE6C" w:rsidR="00691911" w:rsidRPr="00DC677F" w:rsidRDefault="00691911" w:rsidP="00691911">
            <w:pPr>
              <w:jc w:val="right"/>
              <w:rPr>
                <w:rFonts w:ascii="Tahoma" w:hAnsi="Tahoma" w:cs="Tahoma"/>
                <w:b/>
                <w:bCs/>
                <w:color w:val="6D6E71"/>
                <w:sz w:val="20"/>
                <w:szCs w:val="20"/>
              </w:rPr>
            </w:pPr>
            <w:r>
              <w:rPr>
                <w:rFonts w:ascii="Tahoma" w:hAnsi="Tahoma" w:cs="Tahoma"/>
                <w:b/>
                <w:bCs/>
                <w:color w:val="6D6E71"/>
                <w:sz w:val="20"/>
                <w:szCs w:val="20"/>
              </w:rPr>
              <w:t>-0.3</w:t>
            </w:r>
          </w:p>
        </w:tc>
        <w:tc>
          <w:tcPr>
            <w:tcW w:w="1048" w:type="dxa"/>
            <w:tcBorders>
              <w:top w:val="nil"/>
              <w:left w:val="nil"/>
              <w:bottom w:val="single" w:sz="4" w:space="0" w:color="D6A461"/>
              <w:right w:val="nil"/>
            </w:tcBorders>
            <w:shd w:val="clear" w:color="000000" w:fill="DADDDF"/>
            <w:vAlign w:val="center"/>
          </w:tcPr>
          <w:p w14:paraId="08347A51" w14:textId="703C25A5" w:rsidR="00691911" w:rsidRPr="00DC677F" w:rsidRDefault="00691911" w:rsidP="00691911">
            <w:pPr>
              <w:jc w:val="right"/>
              <w:rPr>
                <w:rFonts w:ascii="Tahoma" w:hAnsi="Tahoma" w:cs="Tahoma"/>
                <w:b/>
                <w:bCs/>
                <w:color w:val="6D6E71"/>
                <w:sz w:val="20"/>
                <w:szCs w:val="20"/>
              </w:rPr>
            </w:pPr>
            <w:r>
              <w:rPr>
                <w:rFonts w:ascii="Tahoma" w:hAnsi="Tahoma" w:cs="Tahoma"/>
                <w:b/>
                <w:bCs/>
                <w:color w:val="6D6E71"/>
                <w:sz w:val="20"/>
                <w:szCs w:val="20"/>
                <w:rtl/>
              </w:rPr>
              <w:t>2.2</w:t>
            </w:r>
          </w:p>
        </w:tc>
        <w:tc>
          <w:tcPr>
            <w:tcW w:w="1114" w:type="dxa"/>
            <w:tcBorders>
              <w:top w:val="nil"/>
              <w:left w:val="nil"/>
              <w:bottom w:val="single" w:sz="4" w:space="0" w:color="D6A461"/>
              <w:right w:val="nil"/>
            </w:tcBorders>
            <w:shd w:val="clear" w:color="000000" w:fill="DADDDF"/>
            <w:vAlign w:val="center"/>
          </w:tcPr>
          <w:p w14:paraId="604517AB" w14:textId="740EE00F" w:rsidR="00691911" w:rsidRPr="00DC677F" w:rsidRDefault="00691911" w:rsidP="00691911">
            <w:pPr>
              <w:bidi/>
              <w:rPr>
                <w:rFonts w:ascii="Tahoma" w:hAnsi="Tahoma" w:cs="Tahoma"/>
                <w:b/>
                <w:bCs/>
                <w:color w:val="6D6E71"/>
                <w:sz w:val="20"/>
                <w:szCs w:val="20"/>
                <w:rtl/>
              </w:rPr>
            </w:pPr>
            <w:r>
              <w:rPr>
                <w:rFonts w:ascii="Tahoma" w:hAnsi="Tahoma" w:cs="Tahoma"/>
                <w:b/>
                <w:bCs/>
                <w:color w:val="6D6E71"/>
                <w:sz w:val="20"/>
                <w:szCs w:val="20"/>
                <w:rtl/>
              </w:rPr>
              <w:t>2.0</w:t>
            </w:r>
          </w:p>
        </w:tc>
      </w:tr>
    </w:tbl>
    <w:p w14:paraId="6F6A1264" w14:textId="77777777" w:rsidR="00D70B3A" w:rsidRDefault="00D70B3A" w:rsidP="00917809">
      <w:pPr>
        <w:pStyle w:val="EcoSourceNote"/>
      </w:pPr>
    </w:p>
    <w:p w14:paraId="5350717A" w14:textId="77777777" w:rsidR="00D70B3A" w:rsidRPr="00757155" w:rsidRDefault="00D70B3A" w:rsidP="00917809">
      <w:pPr>
        <w:pStyle w:val="EcoSourceNote"/>
      </w:pPr>
      <w:r w:rsidRPr="00757155">
        <w:t>Source: Statistics Centre - Abu Dhabi</w:t>
      </w:r>
    </w:p>
    <w:p w14:paraId="501E2591" w14:textId="77777777" w:rsidR="00D70B3A" w:rsidRDefault="00D70B3A" w:rsidP="00917809">
      <w:pPr>
        <w:pStyle w:val="EcoTableChartNotes"/>
      </w:pPr>
      <w:r w:rsidRPr="00757155">
        <w:t>*Preliminary estimates</w:t>
      </w:r>
    </w:p>
    <w:p w14:paraId="5ABAB061" w14:textId="77777777" w:rsidR="00D70B3A" w:rsidRDefault="00D70B3A" w:rsidP="00117AE3">
      <w:pPr>
        <w:spacing w:after="0" w:line="360" w:lineRule="auto"/>
        <w:rPr>
          <w:rFonts w:ascii="Arial" w:eastAsia="Calibri" w:hAnsi="Arial"/>
          <w:b/>
          <w:bCs/>
          <w:color w:val="595959"/>
          <w:sz w:val="20"/>
          <w:szCs w:val="20"/>
        </w:rPr>
      </w:pPr>
    </w:p>
    <w:p w14:paraId="52B9594D" w14:textId="57143577" w:rsidR="00117AE3" w:rsidRPr="00B2550C" w:rsidRDefault="00117AE3" w:rsidP="00274B09">
      <w:pPr>
        <w:autoSpaceDE w:val="0"/>
        <w:autoSpaceDN w:val="0"/>
        <w:adjustRightInd w:val="0"/>
        <w:spacing w:after="0" w:line="240" w:lineRule="auto"/>
        <w:ind w:hanging="900"/>
        <w:contextualSpacing/>
        <w:rPr>
          <w:rFonts w:ascii="Arial" w:eastAsia="Calibri" w:hAnsi="Arial"/>
          <w:b/>
          <w:color w:val="595959"/>
        </w:rPr>
      </w:pPr>
      <w:r w:rsidRPr="0047511F">
        <w:rPr>
          <w:rFonts w:ascii="Arial" w:eastAsia="Calibri" w:hAnsi="Arial"/>
          <w:b/>
          <w:color w:val="D6A461" w:themeColor="text2"/>
        </w:rPr>
        <w:lastRenderedPageBreak/>
        <w:t>Table 1</w:t>
      </w:r>
      <w:r w:rsidR="00274B09">
        <w:rPr>
          <w:rFonts w:ascii="Arial" w:eastAsia="Calibri" w:hAnsi="Arial"/>
          <w:b/>
          <w:color w:val="D6A461" w:themeColor="text2"/>
        </w:rPr>
        <w:t>2</w:t>
      </w:r>
      <w:r w:rsidRPr="0047511F">
        <w:rPr>
          <w:rFonts w:ascii="Arial" w:eastAsia="Calibri" w:hAnsi="Arial"/>
          <w:b/>
          <w:color w:val="D6A461" w:themeColor="text2"/>
        </w:rPr>
        <w:t xml:space="preserve">: </w:t>
      </w:r>
      <w:r w:rsidRPr="00B2550C">
        <w:rPr>
          <w:rFonts w:ascii="Arial" w:eastAsia="Calibri" w:hAnsi="Arial"/>
          <w:b/>
          <w:color w:val="595959"/>
        </w:rPr>
        <w:t xml:space="preserve">Percentage contribution </w:t>
      </w:r>
      <w:r w:rsidR="00D614DE">
        <w:rPr>
          <w:rFonts w:ascii="Arial" w:eastAsia="Calibri" w:hAnsi="Arial"/>
          <w:b/>
          <w:color w:val="595959"/>
        </w:rPr>
        <w:t>to</w:t>
      </w:r>
      <w:r w:rsidRPr="00B2550C">
        <w:rPr>
          <w:rFonts w:ascii="Arial" w:eastAsia="Calibri" w:hAnsi="Arial"/>
          <w:b/>
          <w:color w:val="595959"/>
        </w:rPr>
        <w:t xml:space="preserve"> Gross Domestic Product by sectors at constant 2007 prices</w:t>
      </w:r>
      <w:r w:rsidRPr="0047511F">
        <w:rPr>
          <w:rFonts w:ascii="Arial" w:eastAsia="Calibri" w:hAnsi="Arial"/>
          <w:b/>
          <w:color w:val="C00000"/>
        </w:rPr>
        <w:t>*</w:t>
      </w:r>
    </w:p>
    <w:p w14:paraId="2BA3B764" w14:textId="77777777" w:rsidR="00117AE3" w:rsidRPr="00B2550C" w:rsidRDefault="00117AE3" w:rsidP="00755BFC">
      <w:pPr>
        <w:spacing w:after="0" w:line="240" w:lineRule="auto"/>
        <w:ind w:left="-576" w:hanging="684"/>
        <w:rPr>
          <w:rFonts w:ascii="Arial" w:hAnsi="Arial"/>
          <w:color w:val="595959"/>
          <w:sz w:val="20"/>
          <w:szCs w:val="20"/>
        </w:rPr>
      </w:pPr>
      <w:r w:rsidRPr="00B2550C">
        <w:rPr>
          <w:rFonts w:ascii="Arial" w:hAnsi="Arial"/>
          <w:color w:val="595959"/>
          <w:sz w:val="20"/>
          <w:szCs w:val="20"/>
        </w:rPr>
        <w:t xml:space="preserve">       (%)</w:t>
      </w:r>
    </w:p>
    <w:tbl>
      <w:tblPr>
        <w:tblW w:w="11267" w:type="dxa"/>
        <w:tblInd w:w="-933" w:type="dxa"/>
        <w:tblLook w:val="04A0" w:firstRow="1" w:lastRow="0" w:firstColumn="1" w:lastColumn="0" w:noHBand="0" w:noVBand="1"/>
      </w:tblPr>
      <w:tblGrid>
        <w:gridCol w:w="3387"/>
        <w:gridCol w:w="985"/>
        <w:gridCol w:w="985"/>
        <w:gridCol w:w="985"/>
        <w:gridCol w:w="985"/>
        <w:gridCol w:w="985"/>
        <w:gridCol w:w="985"/>
        <w:gridCol w:w="985"/>
        <w:gridCol w:w="985"/>
      </w:tblGrid>
      <w:tr w:rsidR="00B56D78" w:rsidRPr="00B2550C" w14:paraId="2DE7ED09" w14:textId="77777777" w:rsidTr="00C35C90">
        <w:trPr>
          <w:trHeight w:hRule="exact" w:val="467"/>
        </w:trPr>
        <w:tc>
          <w:tcPr>
            <w:tcW w:w="3387" w:type="dxa"/>
            <w:shd w:val="clear" w:color="auto" w:fill="D6A461" w:themeFill="text2"/>
            <w:noWrap/>
            <w:vAlign w:val="center"/>
            <w:hideMark/>
          </w:tcPr>
          <w:p w14:paraId="72CC61B0" w14:textId="6AE9E6F8" w:rsidR="00B56D78" w:rsidRDefault="00B56D78" w:rsidP="00B56D78">
            <w:pPr>
              <w:spacing w:after="0" w:line="240" w:lineRule="auto"/>
              <w:rPr>
                <w:rFonts w:ascii="Tahoma" w:hAnsi="Tahoma" w:cs="Tahoma"/>
                <w:b/>
                <w:bCs/>
                <w:color w:val="FFFFFF"/>
                <w:sz w:val="20"/>
                <w:szCs w:val="20"/>
              </w:rPr>
            </w:pPr>
            <w:r>
              <w:rPr>
                <w:rFonts w:ascii="Tahoma" w:hAnsi="Tahoma" w:cs="Tahoma"/>
                <w:b/>
                <w:bCs/>
                <w:color w:val="FFFFFF"/>
                <w:sz w:val="20"/>
                <w:szCs w:val="20"/>
              </w:rPr>
              <w:t>Sector</w:t>
            </w:r>
            <w:r>
              <w:rPr>
                <w:rFonts w:ascii="Tahoma" w:hAnsi="Tahoma" w:cs="Tahoma"/>
                <w:b/>
                <w:bCs/>
                <w:color w:val="FFFFFF"/>
                <w:sz w:val="20"/>
                <w:szCs w:val="20"/>
              </w:rPr>
              <w:br/>
              <w:t>Seasonally adjusted</w:t>
            </w:r>
          </w:p>
          <w:p w14:paraId="42BF37B1" w14:textId="52FD4168" w:rsidR="00B56D78" w:rsidRPr="00B2550C" w:rsidRDefault="00B56D78" w:rsidP="00B56D78">
            <w:pPr>
              <w:spacing w:after="0" w:line="240" w:lineRule="auto"/>
              <w:rPr>
                <w:rFonts w:ascii="Arial" w:hAnsi="Arial"/>
                <w:b/>
                <w:bCs/>
                <w:color w:val="FFFFFF"/>
                <w:sz w:val="20"/>
                <w:szCs w:val="20"/>
              </w:rPr>
            </w:pPr>
          </w:p>
        </w:tc>
        <w:tc>
          <w:tcPr>
            <w:tcW w:w="985" w:type="dxa"/>
            <w:shd w:val="clear" w:color="auto" w:fill="D6A461" w:themeFill="text2"/>
            <w:vAlign w:val="center"/>
          </w:tcPr>
          <w:p w14:paraId="3CC85C44" w14:textId="2F75E935" w:rsidR="00B56D78" w:rsidRPr="00D70B3A" w:rsidRDefault="00B56D78" w:rsidP="00B56D78">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 xml:space="preserve">Q2 </w:t>
            </w:r>
            <w:r>
              <w:rPr>
                <w:rFonts w:ascii="Tahoma" w:hAnsi="Tahoma" w:cs="Tahoma"/>
                <w:b/>
                <w:bCs/>
                <w:color w:val="FFFFFF"/>
                <w:sz w:val="18"/>
                <w:szCs w:val="18"/>
              </w:rPr>
              <w:t>2017</w:t>
            </w:r>
          </w:p>
        </w:tc>
        <w:tc>
          <w:tcPr>
            <w:tcW w:w="985" w:type="dxa"/>
            <w:shd w:val="clear" w:color="auto" w:fill="D6A461" w:themeFill="text2"/>
            <w:vAlign w:val="center"/>
          </w:tcPr>
          <w:p w14:paraId="6D8863CF" w14:textId="2E0BA965" w:rsidR="00B56D78" w:rsidRPr="00D70B3A" w:rsidRDefault="00B56D78" w:rsidP="00B56D78">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 xml:space="preserve">Q3 </w:t>
            </w:r>
            <w:r>
              <w:rPr>
                <w:rFonts w:ascii="Tahoma" w:hAnsi="Tahoma" w:cs="Tahoma"/>
                <w:b/>
                <w:bCs/>
                <w:color w:val="FFFFFF"/>
                <w:sz w:val="18"/>
                <w:szCs w:val="18"/>
              </w:rPr>
              <w:t>2017</w:t>
            </w:r>
          </w:p>
        </w:tc>
        <w:tc>
          <w:tcPr>
            <w:tcW w:w="985" w:type="dxa"/>
            <w:shd w:val="clear" w:color="auto" w:fill="D6A461" w:themeFill="text2"/>
            <w:vAlign w:val="center"/>
          </w:tcPr>
          <w:p w14:paraId="2469E480" w14:textId="7275D48C" w:rsidR="00B56D78" w:rsidRPr="00D70B3A" w:rsidRDefault="00B56D78" w:rsidP="00B56D78">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 xml:space="preserve">Q4 </w:t>
            </w:r>
            <w:r>
              <w:rPr>
                <w:rFonts w:ascii="Tahoma" w:hAnsi="Tahoma" w:cs="Tahoma"/>
                <w:b/>
                <w:bCs/>
                <w:color w:val="FFFFFF"/>
                <w:sz w:val="18"/>
                <w:szCs w:val="18"/>
              </w:rPr>
              <w:t>2017</w:t>
            </w:r>
          </w:p>
        </w:tc>
        <w:tc>
          <w:tcPr>
            <w:tcW w:w="985" w:type="dxa"/>
            <w:shd w:val="clear" w:color="auto" w:fill="D6A461" w:themeFill="text2"/>
            <w:vAlign w:val="center"/>
          </w:tcPr>
          <w:p w14:paraId="0D6FD659" w14:textId="058F0A28" w:rsidR="00B56D78" w:rsidRPr="00D70B3A" w:rsidRDefault="00B56D78" w:rsidP="00B56D78">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1</w:t>
            </w:r>
            <w:r w:rsidRPr="00D70B3A">
              <w:rPr>
                <w:rFonts w:ascii="Tahoma" w:hAnsi="Tahoma" w:cs="Tahoma"/>
                <w:b/>
                <w:bCs/>
                <w:color w:val="FFFFFF"/>
                <w:sz w:val="18"/>
                <w:szCs w:val="18"/>
              </w:rPr>
              <w:t xml:space="preserve"> </w:t>
            </w:r>
            <w:r>
              <w:rPr>
                <w:rFonts w:ascii="Tahoma" w:hAnsi="Tahoma" w:cs="Tahoma"/>
                <w:b/>
                <w:bCs/>
                <w:color w:val="FFFFFF"/>
                <w:sz w:val="18"/>
                <w:szCs w:val="18"/>
              </w:rPr>
              <w:t>2018</w:t>
            </w:r>
          </w:p>
        </w:tc>
        <w:tc>
          <w:tcPr>
            <w:tcW w:w="985" w:type="dxa"/>
            <w:shd w:val="clear" w:color="auto" w:fill="D6A461" w:themeFill="text2"/>
            <w:vAlign w:val="center"/>
          </w:tcPr>
          <w:p w14:paraId="167ED1A0" w14:textId="233CD630" w:rsidR="00B56D78" w:rsidRPr="00D70B3A" w:rsidRDefault="00B56D78" w:rsidP="00B56D78">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2</w:t>
            </w:r>
            <w:r w:rsidRPr="00D70B3A">
              <w:rPr>
                <w:rFonts w:ascii="Tahoma" w:hAnsi="Tahoma" w:cs="Tahoma"/>
                <w:b/>
                <w:bCs/>
                <w:color w:val="FFFFFF"/>
                <w:sz w:val="18"/>
                <w:szCs w:val="18"/>
              </w:rPr>
              <w:t xml:space="preserve"> </w:t>
            </w:r>
            <w:r>
              <w:rPr>
                <w:rFonts w:ascii="Tahoma" w:hAnsi="Tahoma" w:cs="Tahoma"/>
                <w:b/>
                <w:bCs/>
                <w:color w:val="FFFFFF"/>
                <w:sz w:val="18"/>
                <w:szCs w:val="18"/>
              </w:rPr>
              <w:t>2018</w:t>
            </w:r>
          </w:p>
        </w:tc>
        <w:tc>
          <w:tcPr>
            <w:tcW w:w="985" w:type="dxa"/>
            <w:shd w:val="clear" w:color="auto" w:fill="D6A461" w:themeFill="text2"/>
            <w:vAlign w:val="center"/>
          </w:tcPr>
          <w:p w14:paraId="1A3CB0EF" w14:textId="2673809E" w:rsidR="00B56D78" w:rsidRPr="00D70B3A" w:rsidRDefault="00B56D78" w:rsidP="00B56D78">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3</w:t>
            </w:r>
            <w:r w:rsidRPr="00D70B3A">
              <w:rPr>
                <w:rFonts w:ascii="Tahoma" w:hAnsi="Tahoma" w:cs="Tahoma"/>
                <w:b/>
                <w:bCs/>
                <w:color w:val="FFFFFF"/>
                <w:sz w:val="18"/>
                <w:szCs w:val="18"/>
              </w:rPr>
              <w:t xml:space="preserve"> </w:t>
            </w:r>
            <w:r>
              <w:rPr>
                <w:rFonts w:ascii="Tahoma" w:hAnsi="Tahoma" w:cs="Tahoma"/>
                <w:b/>
                <w:bCs/>
                <w:color w:val="FFFFFF"/>
                <w:sz w:val="18"/>
                <w:szCs w:val="18"/>
              </w:rPr>
              <w:t>2018</w:t>
            </w:r>
          </w:p>
        </w:tc>
        <w:tc>
          <w:tcPr>
            <w:tcW w:w="985" w:type="dxa"/>
            <w:shd w:val="clear" w:color="auto" w:fill="D6A461" w:themeFill="text2"/>
            <w:vAlign w:val="center"/>
          </w:tcPr>
          <w:p w14:paraId="255C7114" w14:textId="57BD160A" w:rsidR="00B56D78" w:rsidRPr="00D70B3A" w:rsidRDefault="00B56D78" w:rsidP="00B56D78">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hint="cs"/>
                <w:b/>
                <w:bCs/>
                <w:color w:val="FFFFFF"/>
                <w:sz w:val="18"/>
                <w:szCs w:val="18"/>
                <w:rtl/>
              </w:rPr>
              <w:t>4</w:t>
            </w:r>
            <w:r w:rsidRPr="00D70B3A">
              <w:rPr>
                <w:rFonts w:ascii="Tahoma" w:hAnsi="Tahoma" w:cs="Tahoma"/>
                <w:b/>
                <w:bCs/>
                <w:color w:val="FFFFFF"/>
                <w:sz w:val="18"/>
                <w:szCs w:val="18"/>
              </w:rPr>
              <w:t xml:space="preserve"> </w:t>
            </w:r>
            <w:r>
              <w:rPr>
                <w:rFonts w:ascii="Tahoma" w:hAnsi="Tahoma" w:cs="Tahoma"/>
                <w:b/>
                <w:bCs/>
                <w:color w:val="FFFFFF"/>
                <w:sz w:val="18"/>
                <w:szCs w:val="18"/>
              </w:rPr>
              <w:t>2018</w:t>
            </w:r>
          </w:p>
        </w:tc>
        <w:tc>
          <w:tcPr>
            <w:tcW w:w="985" w:type="dxa"/>
            <w:shd w:val="clear" w:color="auto" w:fill="D6A461" w:themeFill="text2"/>
            <w:vAlign w:val="center"/>
          </w:tcPr>
          <w:p w14:paraId="666AE534" w14:textId="5F4FAEA5" w:rsidR="00B56D78" w:rsidRPr="00D70B3A" w:rsidRDefault="00B56D78" w:rsidP="00B56D78">
            <w:pPr>
              <w:spacing w:after="0" w:line="240" w:lineRule="auto"/>
              <w:jc w:val="right"/>
              <w:rPr>
                <w:rFonts w:ascii="Arial" w:hAnsi="Arial"/>
                <w:b/>
                <w:bCs/>
                <w:color w:val="FFFFFF"/>
                <w:sz w:val="18"/>
                <w:szCs w:val="18"/>
              </w:rPr>
            </w:pPr>
            <w:r w:rsidRPr="00D70B3A">
              <w:rPr>
                <w:rFonts w:ascii="Tahoma" w:hAnsi="Tahoma" w:cs="Tahoma"/>
                <w:b/>
                <w:bCs/>
                <w:color w:val="FFFFFF"/>
                <w:sz w:val="18"/>
                <w:szCs w:val="18"/>
              </w:rPr>
              <w:t>Q</w:t>
            </w:r>
            <w:r>
              <w:rPr>
                <w:rFonts w:ascii="Tahoma" w:hAnsi="Tahoma" w:cs="Tahoma"/>
                <w:b/>
                <w:bCs/>
                <w:color w:val="FFFFFF"/>
                <w:sz w:val="18"/>
                <w:szCs w:val="18"/>
              </w:rPr>
              <w:t>1</w:t>
            </w:r>
            <w:r w:rsidRPr="00D70B3A">
              <w:rPr>
                <w:rFonts w:ascii="Tahoma" w:hAnsi="Tahoma" w:cs="Tahoma"/>
                <w:b/>
                <w:bCs/>
                <w:color w:val="FFFFFF"/>
                <w:sz w:val="18"/>
                <w:szCs w:val="18"/>
              </w:rPr>
              <w:t xml:space="preserve"> </w:t>
            </w:r>
            <w:r>
              <w:rPr>
                <w:rFonts w:ascii="Tahoma" w:hAnsi="Tahoma" w:cs="Tahoma"/>
                <w:b/>
                <w:bCs/>
                <w:color w:val="FFFFFF"/>
                <w:sz w:val="18"/>
                <w:szCs w:val="18"/>
              </w:rPr>
              <w:t>2019</w:t>
            </w:r>
          </w:p>
        </w:tc>
      </w:tr>
      <w:tr w:rsidR="00B56D78" w:rsidRPr="00B2550C" w14:paraId="74039685" w14:textId="77777777" w:rsidTr="00184FDF">
        <w:trPr>
          <w:trHeight w:hRule="exact" w:val="226"/>
        </w:trPr>
        <w:tc>
          <w:tcPr>
            <w:tcW w:w="3387" w:type="dxa"/>
            <w:vAlign w:val="center"/>
          </w:tcPr>
          <w:p w14:paraId="357D3063" w14:textId="3E38C357" w:rsidR="00B56D78" w:rsidRPr="00771F92" w:rsidRDefault="00B56D78" w:rsidP="00B56D78">
            <w:pPr>
              <w:rPr>
                <w:rFonts w:ascii="Tahoma" w:hAnsi="Tahoma" w:cs="Tahoma"/>
                <w:color w:val="595959"/>
                <w:sz w:val="20"/>
                <w:szCs w:val="20"/>
              </w:rPr>
            </w:pPr>
            <w:r w:rsidRPr="00771F92">
              <w:rPr>
                <w:rFonts w:ascii="Tahoma" w:hAnsi="Tahoma" w:cs="Tahoma"/>
                <w:color w:val="595959"/>
                <w:sz w:val="20"/>
                <w:szCs w:val="20"/>
              </w:rPr>
              <w:t xml:space="preserve">Non-financial </w:t>
            </w:r>
          </w:p>
        </w:tc>
        <w:tc>
          <w:tcPr>
            <w:tcW w:w="985" w:type="dxa"/>
            <w:tcBorders>
              <w:top w:val="nil"/>
              <w:left w:val="nil"/>
              <w:bottom w:val="nil"/>
              <w:right w:val="nil"/>
            </w:tcBorders>
            <w:shd w:val="clear" w:color="auto" w:fill="auto"/>
            <w:vAlign w:val="center"/>
          </w:tcPr>
          <w:p w14:paraId="1EB60FB2" w14:textId="7ABAA689"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88.3</w:t>
            </w:r>
          </w:p>
        </w:tc>
        <w:tc>
          <w:tcPr>
            <w:tcW w:w="985" w:type="dxa"/>
            <w:tcBorders>
              <w:top w:val="nil"/>
              <w:left w:val="nil"/>
              <w:bottom w:val="nil"/>
              <w:right w:val="nil"/>
            </w:tcBorders>
            <w:shd w:val="clear" w:color="auto" w:fill="auto"/>
            <w:vAlign w:val="center"/>
          </w:tcPr>
          <w:p w14:paraId="4984EF50" w14:textId="71B897E5"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87.9</w:t>
            </w:r>
          </w:p>
        </w:tc>
        <w:tc>
          <w:tcPr>
            <w:tcW w:w="985" w:type="dxa"/>
            <w:tcBorders>
              <w:top w:val="nil"/>
              <w:left w:val="nil"/>
              <w:bottom w:val="nil"/>
              <w:right w:val="nil"/>
            </w:tcBorders>
            <w:shd w:val="clear" w:color="auto" w:fill="auto"/>
            <w:vAlign w:val="center"/>
          </w:tcPr>
          <w:p w14:paraId="0BDDAD20" w14:textId="380A3B10"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87.9</w:t>
            </w:r>
          </w:p>
        </w:tc>
        <w:tc>
          <w:tcPr>
            <w:tcW w:w="985" w:type="dxa"/>
            <w:tcBorders>
              <w:top w:val="nil"/>
              <w:left w:val="nil"/>
              <w:bottom w:val="nil"/>
              <w:right w:val="nil"/>
            </w:tcBorders>
            <w:shd w:val="clear" w:color="auto" w:fill="auto"/>
            <w:vAlign w:val="center"/>
          </w:tcPr>
          <w:p w14:paraId="52476F07" w14:textId="43DDC2A5"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88.1</w:t>
            </w:r>
          </w:p>
        </w:tc>
        <w:tc>
          <w:tcPr>
            <w:tcW w:w="985" w:type="dxa"/>
            <w:tcBorders>
              <w:top w:val="nil"/>
              <w:left w:val="nil"/>
              <w:bottom w:val="nil"/>
              <w:right w:val="nil"/>
            </w:tcBorders>
            <w:shd w:val="clear" w:color="auto" w:fill="auto"/>
            <w:vAlign w:val="center"/>
          </w:tcPr>
          <w:p w14:paraId="197B478C" w14:textId="4A25CCE6"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87.6</w:t>
            </w:r>
          </w:p>
        </w:tc>
        <w:tc>
          <w:tcPr>
            <w:tcW w:w="985" w:type="dxa"/>
            <w:tcBorders>
              <w:top w:val="nil"/>
              <w:left w:val="nil"/>
              <w:bottom w:val="nil"/>
              <w:right w:val="nil"/>
            </w:tcBorders>
            <w:shd w:val="clear" w:color="auto" w:fill="auto"/>
            <w:vAlign w:val="center"/>
          </w:tcPr>
          <w:p w14:paraId="29747DD5" w14:textId="543F9180"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89.1</w:t>
            </w:r>
          </w:p>
        </w:tc>
        <w:tc>
          <w:tcPr>
            <w:tcW w:w="985" w:type="dxa"/>
            <w:tcBorders>
              <w:top w:val="nil"/>
              <w:left w:val="nil"/>
              <w:bottom w:val="nil"/>
              <w:right w:val="nil"/>
            </w:tcBorders>
            <w:shd w:val="clear" w:color="auto" w:fill="auto"/>
            <w:vAlign w:val="center"/>
          </w:tcPr>
          <w:p w14:paraId="750C2227" w14:textId="7C554015"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Pr>
              <w:t>88.4</w:t>
            </w:r>
          </w:p>
        </w:tc>
        <w:tc>
          <w:tcPr>
            <w:tcW w:w="985" w:type="dxa"/>
            <w:tcBorders>
              <w:top w:val="nil"/>
              <w:left w:val="nil"/>
              <w:bottom w:val="nil"/>
              <w:right w:val="nil"/>
            </w:tcBorders>
            <w:shd w:val="clear" w:color="auto" w:fill="auto"/>
            <w:vAlign w:val="center"/>
          </w:tcPr>
          <w:p w14:paraId="6D8720D6" w14:textId="470D2856" w:rsidR="00B56D78" w:rsidRPr="002F27C2" w:rsidRDefault="00B56D78" w:rsidP="00B56D78">
            <w:pPr>
              <w:bidi/>
              <w:rPr>
                <w:rFonts w:asciiTheme="majorHAnsi" w:hAnsiTheme="majorHAnsi" w:cstheme="majorHAnsi"/>
                <w:color w:val="595959"/>
                <w:sz w:val="20"/>
                <w:szCs w:val="20"/>
              </w:rPr>
            </w:pPr>
            <w:r>
              <w:rPr>
                <w:rFonts w:ascii="Tahoma" w:hAnsi="Tahoma" w:cs="Tahoma"/>
                <w:color w:val="6D6E71"/>
                <w:sz w:val="20"/>
                <w:szCs w:val="20"/>
                <w:rtl/>
              </w:rPr>
              <w:t>88.9</w:t>
            </w:r>
          </w:p>
        </w:tc>
      </w:tr>
      <w:tr w:rsidR="00B56D78" w:rsidRPr="00B2550C" w14:paraId="4A8F6F1F" w14:textId="77777777" w:rsidTr="00A01BFE">
        <w:trPr>
          <w:trHeight w:hRule="exact" w:val="302"/>
        </w:trPr>
        <w:tc>
          <w:tcPr>
            <w:tcW w:w="3387" w:type="dxa"/>
            <w:shd w:val="clear" w:color="auto" w:fill="auto"/>
            <w:noWrap/>
            <w:vAlign w:val="center"/>
          </w:tcPr>
          <w:p w14:paraId="48B251FE" w14:textId="09834751" w:rsidR="00B56D78" w:rsidRPr="009F17BC" w:rsidRDefault="00B56D78" w:rsidP="00B56D78">
            <w:pPr>
              <w:rPr>
                <w:rFonts w:ascii="Tahoma" w:hAnsi="Tahoma" w:cs="Tahoma"/>
                <w:color w:val="595959"/>
                <w:sz w:val="20"/>
                <w:szCs w:val="20"/>
              </w:rPr>
            </w:pPr>
            <w:r w:rsidRPr="0016203F">
              <w:rPr>
                <w:rFonts w:ascii="Tahoma" w:hAnsi="Tahoma" w:cs="Tahoma"/>
                <w:color w:val="595959"/>
                <w:sz w:val="20"/>
                <w:szCs w:val="20"/>
              </w:rPr>
              <w:t>Financial companies</w:t>
            </w:r>
          </w:p>
        </w:tc>
        <w:tc>
          <w:tcPr>
            <w:tcW w:w="985" w:type="dxa"/>
            <w:tcBorders>
              <w:top w:val="nil"/>
              <w:left w:val="nil"/>
              <w:bottom w:val="nil"/>
              <w:right w:val="nil"/>
            </w:tcBorders>
            <w:shd w:val="clear" w:color="auto" w:fill="auto"/>
            <w:vAlign w:val="center"/>
          </w:tcPr>
          <w:p w14:paraId="7C0069D7" w14:textId="223F0A94"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7.3</w:t>
            </w:r>
          </w:p>
        </w:tc>
        <w:tc>
          <w:tcPr>
            <w:tcW w:w="985" w:type="dxa"/>
            <w:tcBorders>
              <w:top w:val="nil"/>
              <w:left w:val="nil"/>
              <w:bottom w:val="nil"/>
              <w:right w:val="nil"/>
            </w:tcBorders>
            <w:shd w:val="clear" w:color="auto" w:fill="auto"/>
            <w:vAlign w:val="center"/>
          </w:tcPr>
          <w:p w14:paraId="36E964E0" w14:textId="0CA8FDEB"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7.5</w:t>
            </w:r>
          </w:p>
        </w:tc>
        <w:tc>
          <w:tcPr>
            <w:tcW w:w="985" w:type="dxa"/>
            <w:tcBorders>
              <w:top w:val="nil"/>
              <w:left w:val="nil"/>
              <w:bottom w:val="nil"/>
              <w:right w:val="nil"/>
            </w:tcBorders>
            <w:shd w:val="clear" w:color="auto" w:fill="auto"/>
            <w:vAlign w:val="center"/>
          </w:tcPr>
          <w:p w14:paraId="32CFC44F" w14:textId="0D3C4F5B"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7.5</w:t>
            </w:r>
          </w:p>
        </w:tc>
        <w:tc>
          <w:tcPr>
            <w:tcW w:w="985" w:type="dxa"/>
            <w:tcBorders>
              <w:top w:val="nil"/>
              <w:left w:val="nil"/>
              <w:bottom w:val="nil"/>
              <w:right w:val="nil"/>
            </w:tcBorders>
            <w:shd w:val="clear" w:color="auto" w:fill="auto"/>
            <w:vAlign w:val="center"/>
          </w:tcPr>
          <w:p w14:paraId="67AAE9DB" w14:textId="370FAADC"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7.4</w:t>
            </w:r>
          </w:p>
        </w:tc>
        <w:tc>
          <w:tcPr>
            <w:tcW w:w="985" w:type="dxa"/>
            <w:tcBorders>
              <w:top w:val="nil"/>
              <w:left w:val="nil"/>
              <w:bottom w:val="nil"/>
              <w:right w:val="nil"/>
            </w:tcBorders>
            <w:shd w:val="clear" w:color="auto" w:fill="auto"/>
            <w:vAlign w:val="center"/>
          </w:tcPr>
          <w:p w14:paraId="22DA6AA0" w14:textId="659E5FCF"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8.0</w:t>
            </w:r>
          </w:p>
        </w:tc>
        <w:tc>
          <w:tcPr>
            <w:tcW w:w="985" w:type="dxa"/>
            <w:tcBorders>
              <w:top w:val="nil"/>
              <w:left w:val="nil"/>
              <w:bottom w:val="nil"/>
              <w:right w:val="nil"/>
            </w:tcBorders>
            <w:shd w:val="clear" w:color="auto" w:fill="auto"/>
            <w:vAlign w:val="center"/>
          </w:tcPr>
          <w:p w14:paraId="30393D77" w14:textId="16234DD2"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6.4</w:t>
            </w:r>
          </w:p>
        </w:tc>
        <w:tc>
          <w:tcPr>
            <w:tcW w:w="985" w:type="dxa"/>
            <w:tcBorders>
              <w:top w:val="nil"/>
              <w:left w:val="nil"/>
              <w:bottom w:val="nil"/>
              <w:right w:val="nil"/>
            </w:tcBorders>
            <w:shd w:val="clear" w:color="auto" w:fill="auto"/>
            <w:vAlign w:val="center"/>
          </w:tcPr>
          <w:p w14:paraId="1EF7C0B2" w14:textId="70026406"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Pr>
              <w:t>7.3</w:t>
            </w:r>
          </w:p>
        </w:tc>
        <w:tc>
          <w:tcPr>
            <w:tcW w:w="985" w:type="dxa"/>
            <w:tcBorders>
              <w:top w:val="nil"/>
              <w:left w:val="nil"/>
              <w:bottom w:val="nil"/>
              <w:right w:val="nil"/>
            </w:tcBorders>
            <w:shd w:val="clear" w:color="auto" w:fill="auto"/>
            <w:vAlign w:val="center"/>
          </w:tcPr>
          <w:p w14:paraId="21A82490" w14:textId="1EDDD696" w:rsidR="00B56D78" w:rsidRPr="002F27C2" w:rsidRDefault="00B56D78" w:rsidP="00B56D78">
            <w:pPr>
              <w:bidi/>
              <w:rPr>
                <w:rFonts w:asciiTheme="majorHAnsi" w:hAnsiTheme="majorHAnsi" w:cstheme="majorHAnsi"/>
                <w:color w:val="595959"/>
                <w:sz w:val="20"/>
                <w:szCs w:val="20"/>
                <w:rtl/>
              </w:rPr>
            </w:pPr>
            <w:r>
              <w:rPr>
                <w:rFonts w:ascii="Tahoma" w:hAnsi="Tahoma" w:cs="Tahoma"/>
                <w:color w:val="6D6E71"/>
                <w:sz w:val="20"/>
                <w:szCs w:val="20"/>
                <w:rtl/>
              </w:rPr>
              <w:t>6.8</w:t>
            </w:r>
          </w:p>
        </w:tc>
      </w:tr>
      <w:tr w:rsidR="00B56D78" w:rsidRPr="00B2550C" w14:paraId="38500F45" w14:textId="77777777" w:rsidTr="00A01BFE">
        <w:trPr>
          <w:trHeight w:hRule="exact" w:val="302"/>
        </w:trPr>
        <w:tc>
          <w:tcPr>
            <w:tcW w:w="3387" w:type="dxa"/>
            <w:shd w:val="clear" w:color="auto" w:fill="auto"/>
            <w:noWrap/>
            <w:vAlign w:val="center"/>
          </w:tcPr>
          <w:p w14:paraId="7BA6C4AF" w14:textId="7E577985" w:rsidR="00B56D78" w:rsidRPr="009F17BC" w:rsidRDefault="00B56D78" w:rsidP="00B56D78">
            <w:pPr>
              <w:rPr>
                <w:rFonts w:ascii="Tahoma" w:hAnsi="Tahoma" w:cs="Tahoma"/>
                <w:color w:val="595959"/>
                <w:sz w:val="20"/>
                <w:szCs w:val="20"/>
              </w:rPr>
            </w:pPr>
            <w:r w:rsidRPr="0016203F">
              <w:rPr>
                <w:rFonts w:ascii="Tahoma" w:hAnsi="Tahoma" w:cs="Tahoma"/>
                <w:color w:val="595959"/>
                <w:sz w:val="20"/>
                <w:szCs w:val="20"/>
              </w:rPr>
              <w:t>General government</w:t>
            </w:r>
          </w:p>
        </w:tc>
        <w:tc>
          <w:tcPr>
            <w:tcW w:w="985" w:type="dxa"/>
            <w:tcBorders>
              <w:top w:val="nil"/>
              <w:left w:val="nil"/>
              <w:bottom w:val="nil"/>
              <w:right w:val="nil"/>
            </w:tcBorders>
            <w:shd w:val="clear" w:color="auto" w:fill="auto"/>
            <w:vAlign w:val="center"/>
          </w:tcPr>
          <w:p w14:paraId="47D47844" w14:textId="4F4BA701"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4.0</w:t>
            </w:r>
          </w:p>
        </w:tc>
        <w:tc>
          <w:tcPr>
            <w:tcW w:w="985" w:type="dxa"/>
            <w:tcBorders>
              <w:top w:val="nil"/>
              <w:left w:val="nil"/>
              <w:bottom w:val="nil"/>
              <w:right w:val="nil"/>
            </w:tcBorders>
            <w:shd w:val="clear" w:color="auto" w:fill="auto"/>
            <w:vAlign w:val="center"/>
          </w:tcPr>
          <w:p w14:paraId="3D16AAEF" w14:textId="155BBA96"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4.1</w:t>
            </w:r>
          </w:p>
        </w:tc>
        <w:tc>
          <w:tcPr>
            <w:tcW w:w="985" w:type="dxa"/>
            <w:tcBorders>
              <w:top w:val="nil"/>
              <w:left w:val="nil"/>
              <w:bottom w:val="nil"/>
              <w:right w:val="nil"/>
            </w:tcBorders>
            <w:shd w:val="clear" w:color="auto" w:fill="auto"/>
            <w:vAlign w:val="center"/>
          </w:tcPr>
          <w:p w14:paraId="29A871AF" w14:textId="766B1751"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4.1</w:t>
            </w:r>
          </w:p>
        </w:tc>
        <w:tc>
          <w:tcPr>
            <w:tcW w:w="985" w:type="dxa"/>
            <w:tcBorders>
              <w:top w:val="nil"/>
              <w:left w:val="nil"/>
              <w:bottom w:val="nil"/>
              <w:right w:val="nil"/>
            </w:tcBorders>
            <w:shd w:val="clear" w:color="auto" w:fill="auto"/>
            <w:vAlign w:val="center"/>
          </w:tcPr>
          <w:p w14:paraId="3E1E1EC4" w14:textId="62D6293B"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4.0</w:t>
            </w:r>
          </w:p>
        </w:tc>
        <w:tc>
          <w:tcPr>
            <w:tcW w:w="985" w:type="dxa"/>
            <w:tcBorders>
              <w:top w:val="nil"/>
              <w:left w:val="nil"/>
              <w:bottom w:val="nil"/>
              <w:right w:val="nil"/>
            </w:tcBorders>
            <w:shd w:val="clear" w:color="auto" w:fill="auto"/>
            <w:vAlign w:val="center"/>
          </w:tcPr>
          <w:p w14:paraId="248F1707" w14:textId="7BBD3E27"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3.9</w:t>
            </w:r>
          </w:p>
        </w:tc>
        <w:tc>
          <w:tcPr>
            <w:tcW w:w="985" w:type="dxa"/>
            <w:tcBorders>
              <w:top w:val="nil"/>
              <w:left w:val="nil"/>
              <w:bottom w:val="nil"/>
              <w:right w:val="nil"/>
            </w:tcBorders>
            <w:shd w:val="clear" w:color="auto" w:fill="auto"/>
            <w:vAlign w:val="center"/>
          </w:tcPr>
          <w:p w14:paraId="20732882" w14:textId="5D569492"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3.9</w:t>
            </w:r>
          </w:p>
        </w:tc>
        <w:tc>
          <w:tcPr>
            <w:tcW w:w="985" w:type="dxa"/>
            <w:tcBorders>
              <w:top w:val="nil"/>
              <w:left w:val="nil"/>
              <w:bottom w:val="nil"/>
              <w:right w:val="nil"/>
            </w:tcBorders>
            <w:shd w:val="clear" w:color="auto" w:fill="auto"/>
            <w:vAlign w:val="center"/>
          </w:tcPr>
          <w:p w14:paraId="7CE5C935" w14:textId="406F5AD9"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3.8</w:t>
            </w:r>
          </w:p>
        </w:tc>
        <w:tc>
          <w:tcPr>
            <w:tcW w:w="985" w:type="dxa"/>
            <w:tcBorders>
              <w:top w:val="nil"/>
              <w:left w:val="nil"/>
              <w:bottom w:val="nil"/>
              <w:right w:val="nil"/>
            </w:tcBorders>
            <w:shd w:val="clear" w:color="auto" w:fill="auto"/>
            <w:vAlign w:val="center"/>
          </w:tcPr>
          <w:p w14:paraId="1664E91F" w14:textId="5E61E8CA" w:rsidR="00B56D78" w:rsidRPr="002F27C2" w:rsidRDefault="00B56D78" w:rsidP="00B56D78">
            <w:pPr>
              <w:bidi/>
              <w:rPr>
                <w:rFonts w:asciiTheme="majorHAnsi" w:hAnsiTheme="majorHAnsi" w:cstheme="majorHAnsi"/>
                <w:color w:val="595959"/>
                <w:sz w:val="20"/>
                <w:szCs w:val="20"/>
                <w:rtl/>
                <w:lang w:bidi="ar-AE"/>
              </w:rPr>
            </w:pPr>
            <w:r>
              <w:rPr>
                <w:rFonts w:ascii="Tahoma" w:hAnsi="Tahoma" w:cs="Tahoma"/>
                <w:color w:val="6D6E71"/>
                <w:sz w:val="20"/>
                <w:szCs w:val="20"/>
                <w:rtl/>
              </w:rPr>
              <w:t>3.7</w:t>
            </w:r>
          </w:p>
        </w:tc>
      </w:tr>
      <w:tr w:rsidR="00B56D78" w:rsidRPr="00B2550C" w14:paraId="57505287" w14:textId="77777777" w:rsidTr="00A01BFE">
        <w:trPr>
          <w:trHeight w:hRule="exact" w:val="302"/>
        </w:trPr>
        <w:tc>
          <w:tcPr>
            <w:tcW w:w="3387" w:type="dxa"/>
            <w:shd w:val="clear" w:color="auto" w:fill="auto"/>
            <w:noWrap/>
            <w:vAlign w:val="center"/>
          </w:tcPr>
          <w:p w14:paraId="7266AF11" w14:textId="65E188E8" w:rsidR="00B56D78" w:rsidRPr="00DC677F" w:rsidRDefault="00B56D78" w:rsidP="00B56D78">
            <w:pPr>
              <w:rPr>
                <w:rFonts w:ascii="Tahoma" w:hAnsi="Tahoma" w:cs="Tahoma"/>
                <w:color w:val="595959"/>
                <w:sz w:val="20"/>
                <w:szCs w:val="20"/>
              </w:rPr>
            </w:pPr>
            <w:r w:rsidRPr="0016203F">
              <w:rPr>
                <w:rFonts w:ascii="Tahoma" w:hAnsi="Tahoma" w:cs="Tahoma"/>
                <w:color w:val="595959"/>
                <w:sz w:val="20"/>
                <w:szCs w:val="20"/>
              </w:rPr>
              <w:t>Households</w:t>
            </w:r>
          </w:p>
        </w:tc>
        <w:tc>
          <w:tcPr>
            <w:tcW w:w="985" w:type="dxa"/>
            <w:tcBorders>
              <w:top w:val="nil"/>
              <w:left w:val="nil"/>
              <w:bottom w:val="nil"/>
              <w:right w:val="nil"/>
            </w:tcBorders>
            <w:shd w:val="clear" w:color="auto" w:fill="auto"/>
            <w:vAlign w:val="center"/>
          </w:tcPr>
          <w:p w14:paraId="685719AE" w14:textId="28EE4E3C"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0.5</w:t>
            </w:r>
          </w:p>
        </w:tc>
        <w:tc>
          <w:tcPr>
            <w:tcW w:w="985" w:type="dxa"/>
            <w:tcBorders>
              <w:top w:val="nil"/>
              <w:left w:val="nil"/>
              <w:bottom w:val="nil"/>
              <w:right w:val="nil"/>
            </w:tcBorders>
            <w:shd w:val="clear" w:color="auto" w:fill="auto"/>
            <w:vAlign w:val="center"/>
          </w:tcPr>
          <w:p w14:paraId="708127D0" w14:textId="74E6356D"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0.5</w:t>
            </w:r>
          </w:p>
        </w:tc>
        <w:tc>
          <w:tcPr>
            <w:tcW w:w="985" w:type="dxa"/>
            <w:tcBorders>
              <w:top w:val="nil"/>
              <w:left w:val="nil"/>
              <w:bottom w:val="nil"/>
              <w:right w:val="nil"/>
            </w:tcBorders>
            <w:shd w:val="clear" w:color="auto" w:fill="auto"/>
            <w:vAlign w:val="center"/>
          </w:tcPr>
          <w:p w14:paraId="25E13D37" w14:textId="18046BA4"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0.5</w:t>
            </w:r>
          </w:p>
        </w:tc>
        <w:tc>
          <w:tcPr>
            <w:tcW w:w="985" w:type="dxa"/>
            <w:tcBorders>
              <w:top w:val="nil"/>
              <w:left w:val="nil"/>
              <w:bottom w:val="nil"/>
              <w:right w:val="nil"/>
            </w:tcBorders>
            <w:shd w:val="clear" w:color="auto" w:fill="auto"/>
            <w:vAlign w:val="center"/>
          </w:tcPr>
          <w:p w14:paraId="4CF63B20" w14:textId="72F6E020"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0.5</w:t>
            </w:r>
          </w:p>
        </w:tc>
        <w:tc>
          <w:tcPr>
            <w:tcW w:w="985" w:type="dxa"/>
            <w:tcBorders>
              <w:top w:val="nil"/>
              <w:left w:val="nil"/>
              <w:bottom w:val="nil"/>
              <w:right w:val="nil"/>
            </w:tcBorders>
            <w:shd w:val="clear" w:color="auto" w:fill="auto"/>
            <w:vAlign w:val="center"/>
          </w:tcPr>
          <w:p w14:paraId="1D4713CB" w14:textId="3CA1EE43"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0.5</w:t>
            </w:r>
          </w:p>
        </w:tc>
        <w:tc>
          <w:tcPr>
            <w:tcW w:w="985" w:type="dxa"/>
            <w:tcBorders>
              <w:top w:val="nil"/>
              <w:left w:val="nil"/>
              <w:bottom w:val="nil"/>
              <w:right w:val="nil"/>
            </w:tcBorders>
            <w:shd w:val="clear" w:color="auto" w:fill="auto"/>
            <w:vAlign w:val="center"/>
          </w:tcPr>
          <w:p w14:paraId="4ACF0C11" w14:textId="11BD4C65"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0.5</w:t>
            </w:r>
          </w:p>
        </w:tc>
        <w:tc>
          <w:tcPr>
            <w:tcW w:w="985" w:type="dxa"/>
            <w:tcBorders>
              <w:top w:val="nil"/>
              <w:left w:val="nil"/>
              <w:bottom w:val="nil"/>
              <w:right w:val="nil"/>
            </w:tcBorders>
            <w:shd w:val="clear" w:color="auto" w:fill="auto"/>
            <w:vAlign w:val="center"/>
          </w:tcPr>
          <w:p w14:paraId="040EC04C" w14:textId="7A853836" w:rsidR="00B56D78" w:rsidRPr="00B45201" w:rsidRDefault="00B56D78" w:rsidP="00B56D78">
            <w:pPr>
              <w:jc w:val="right"/>
              <w:rPr>
                <w:rFonts w:asciiTheme="majorHAnsi" w:hAnsiTheme="majorHAnsi" w:cstheme="majorHAnsi"/>
                <w:color w:val="595959"/>
                <w:sz w:val="20"/>
                <w:szCs w:val="20"/>
              </w:rPr>
            </w:pPr>
            <w:r>
              <w:rPr>
                <w:rFonts w:ascii="Tahoma" w:hAnsi="Tahoma" w:cs="Tahoma"/>
                <w:color w:val="6D6E71"/>
                <w:sz w:val="20"/>
                <w:szCs w:val="20"/>
                <w:rtl/>
              </w:rPr>
              <w:t>0.5</w:t>
            </w:r>
          </w:p>
        </w:tc>
        <w:tc>
          <w:tcPr>
            <w:tcW w:w="985" w:type="dxa"/>
            <w:tcBorders>
              <w:top w:val="nil"/>
              <w:left w:val="nil"/>
              <w:bottom w:val="nil"/>
              <w:right w:val="nil"/>
            </w:tcBorders>
            <w:shd w:val="clear" w:color="auto" w:fill="auto"/>
            <w:vAlign w:val="center"/>
          </w:tcPr>
          <w:p w14:paraId="44F3C819" w14:textId="5BD423A1" w:rsidR="00B56D78" w:rsidRPr="002F27C2" w:rsidRDefault="00B56D78" w:rsidP="00B56D78">
            <w:pPr>
              <w:bidi/>
              <w:rPr>
                <w:rFonts w:asciiTheme="majorHAnsi" w:hAnsiTheme="majorHAnsi" w:cstheme="majorHAnsi"/>
                <w:color w:val="595959"/>
                <w:sz w:val="20"/>
                <w:szCs w:val="20"/>
                <w:rtl/>
              </w:rPr>
            </w:pPr>
            <w:r>
              <w:rPr>
                <w:rFonts w:ascii="Tahoma" w:hAnsi="Tahoma" w:cs="Tahoma"/>
                <w:color w:val="6D6E71"/>
                <w:sz w:val="20"/>
                <w:szCs w:val="20"/>
                <w:rtl/>
              </w:rPr>
              <w:t>0.5</w:t>
            </w:r>
          </w:p>
        </w:tc>
      </w:tr>
      <w:tr w:rsidR="00B56D78" w:rsidRPr="00B2550C" w14:paraId="1D145B65" w14:textId="77777777" w:rsidTr="0039156F">
        <w:trPr>
          <w:trHeight w:hRule="exact" w:val="443"/>
        </w:trPr>
        <w:tc>
          <w:tcPr>
            <w:tcW w:w="3387" w:type="dxa"/>
            <w:shd w:val="clear" w:color="auto" w:fill="DADDDF"/>
            <w:noWrap/>
            <w:vAlign w:val="center"/>
            <w:hideMark/>
          </w:tcPr>
          <w:p w14:paraId="3F7AF104" w14:textId="77777777" w:rsidR="00B56D78" w:rsidRPr="00B45201" w:rsidRDefault="00B56D78" w:rsidP="00B56D78">
            <w:pPr>
              <w:spacing w:after="0" w:line="240" w:lineRule="auto"/>
              <w:rPr>
                <w:rFonts w:asciiTheme="majorHAnsi" w:hAnsiTheme="majorHAnsi" w:cstheme="majorHAnsi"/>
                <w:b/>
                <w:bCs/>
                <w:color w:val="595959"/>
                <w:sz w:val="20"/>
                <w:szCs w:val="20"/>
              </w:rPr>
            </w:pPr>
            <w:r w:rsidRPr="00B45201">
              <w:rPr>
                <w:rFonts w:asciiTheme="majorHAnsi" w:hAnsiTheme="majorHAnsi" w:cstheme="majorHAnsi"/>
                <w:b/>
                <w:bCs/>
                <w:color w:val="595959"/>
                <w:sz w:val="20"/>
                <w:szCs w:val="20"/>
              </w:rPr>
              <w:t>GDP</w:t>
            </w:r>
          </w:p>
        </w:tc>
        <w:tc>
          <w:tcPr>
            <w:tcW w:w="985" w:type="dxa"/>
            <w:tcBorders>
              <w:top w:val="nil"/>
              <w:left w:val="nil"/>
              <w:bottom w:val="single" w:sz="4" w:space="0" w:color="D6A461"/>
              <w:right w:val="nil"/>
            </w:tcBorders>
            <w:shd w:val="clear" w:color="000000" w:fill="DADDDF"/>
            <w:vAlign w:val="center"/>
          </w:tcPr>
          <w:p w14:paraId="6A7CF679" w14:textId="65311F7D" w:rsidR="00B56D78" w:rsidRPr="00B45201" w:rsidRDefault="00B56D78" w:rsidP="00B56D78">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85" w:type="dxa"/>
            <w:tcBorders>
              <w:top w:val="nil"/>
              <w:left w:val="nil"/>
              <w:bottom w:val="single" w:sz="4" w:space="0" w:color="D6A461"/>
              <w:right w:val="nil"/>
            </w:tcBorders>
            <w:shd w:val="clear" w:color="000000" w:fill="DADDDF"/>
            <w:vAlign w:val="center"/>
          </w:tcPr>
          <w:p w14:paraId="57087FDC" w14:textId="01FBD491" w:rsidR="00B56D78" w:rsidRPr="00B45201" w:rsidRDefault="00B56D78" w:rsidP="00B56D78">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85" w:type="dxa"/>
            <w:tcBorders>
              <w:top w:val="nil"/>
              <w:left w:val="nil"/>
              <w:bottom w:val="single" w:sz="4" w:space="0" w:color="D6A461"/>
              <w:right w:val="nil"/>
            </w:tcBorders>
            <w:shd w:val="clear" w:color="000000" w:fill="DADDDF"/>
            <w:vAlign w:val="center"/>
          </w:tcPr>
          <w:p w14:paraId="7C1DF715" w14:textId="39F7EA67" w:rsidR="00B56D78" w:rsidRPr="00B45201" w:rsidRDefault="00B56D78" w:rsidP="00B56D78">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85" w:type="dxa"/>
            <w:tcBorders>
              <w:top w:val="nil"/>
              <w:left w:val="nil"/>
              <w:bottom w:val="single" w:sz="4" w:space="0" w:color="D6A461"/>
              <w:right w:val="nil"/>
            </w:tcBorders>
            <w:shd w:val="clear" w:color="000000" w:fill="DADDDF"/>
            <w:vAlign w:val="center"/>
          </w:tcPr>
          <w:p w14:paraId="249CCA81" w14:textId="47264576" w:rsidR="00B56D78" w:rsidRPr="00B45201" w:rsidRDefault="00B56D78" w:rsidP="00B56D78">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85" w:type="dxa"/>
            <w:tcBorders>
              <w:top w:val="nil"/>
              <w:left w:val="nil"/>
              <w:bottom w:val="single" w:sz="4" w:space="0" w:color="D6A461"/>
              <w:right w:val="nil"/>
            </w:tcBorders>
            <w:shd w:val="clear" w:color="000000" w:fill="DADDDF"/>
            <w:vAlign w:val="center"/>
          </w:tcPr>
          <w:p w14:paraId="2E1183AB" w14:textId="16278988" w:rsidR="00B56D78" w:rsidRPr="00B45201" w:rsidRDefault="00B56D78" w:rsidP="00B56D78">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85" w:type="dxa"/>
            <w:tcBorders>
              <w:top w:val="nil"/>
              <w:left w:val="nil"/>
              <w:bottom w:val="single" w:sz="4" w:space="0" w:color="D6A461"/>
              <w:right w:val="nil"/>
            </w:tcBorders>
            <w:shd w:val="clear" w:color="000000" w:fill="DADDDF"/>
            <w:vAlign w:val="center"/>
          </w:tcPr>
          <w:p w14:paraId="70F4F190" w14:textId="2E9C1F45" w:rsidR="00B56D78" w:rsidRPr="00B45201" w:rsidRDefault="00B56D78" w:rsidP="00B56D78">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85" w:type="dxa"/>
            <w:tcBorders>
              <w:top w:val="nil"/>
              <w:left w:val="nil"/>
              <w:bottom w:val="single" w:sz="4" w:space="0" w:color="D6A461"/>
              <w:right w:val="nil"/>
            </w:tcBorders>
            <w:shd w:val="clear" w:color="000000" w:fill="D9D9D9"/>
            <w:vAlign w:val="center"/>
          </w:tcPr>
          <w:p w14:paraId="7FE41539" w14:textId="5F41E7D1" w:rsidR="00B56D78" w:rsidRPr="00B45201" w:rsidRDefault="00B56D78" w:rsidP="00B56D78">
            <w:pPr>
              <w:jc w:val="right"/>
              <w:rPr>
                <w:rFonts w:asciiTheme="majorHAnsi" w:hAnsiTheme="majorHAnsi" w:cstheme="majorHAnsi"/>
                <w:b/>
                <w:bCs/>
                <w:color w:val="595959"/>
                <w:sz w:val="20"/>
                <w:szCs w:val="20"/>
              </w:rPr>
            </w:pPr>
            <w:r>
              <w:rPr>
                <w:rFonts w:ascii="Tahoma" w:hAnsi="Tahoma" w:cs="Tahoma"/>
                <w:b/>
                <w:bCs/>
                <w:color w:val="6D6E71"/>
                <w:sz w:val="20"/>
                <w:szCs w:val="20"/>
                <w:rtl/>
              </w:rPr>
              <w:t>100</w:t>
            </w:r>
          </w:p>
        </w:tc>
        <w:tc>
          <w:tcPr>
            <w:tcW w:w="985" w:type="dxa"/>
            <w:tcBorders>
              <w:top w:val="nil"/>
              <w:left w:val="nil"/>
              <w:bottom w:val="single" w:sz="4" w:space="0" w:color="D6A461"/>
              <w:right w:val="nil"/>
            </w:tcBorders>
            <w:shd w:val="clear" w:color="000000" w:fill="D9D9D9"/>
            <w:vAlign w:val="center"/>
          </w:tcPr>
          <w:p w14:paraId="6C0F2BE8" w14:textId="4852BD77" w:rsidR="00B56D78" w:rsidRPr="00B45201" w:rsidRDefault="00B56D78" w:rsidP="00B56D78">
            <w:pPr>
              <w:jc w:val="right"/>
              <w:rPr>
                <w:rFonts w:asciiTheme="majorHAnsi" w:hAnsiTheme="majorHAnsi" w:cstheme="majorHAnsi"/>
                <w:b/>
                <w:bCs/>
                <w:color w:val="6D6E71"/>
                <w:sz w:val="20"/>
                <w:szCs w:val="20"/>
                <w:rtl/>
              </w:rPr>
            </w:pPr>
            <w:r>
              <w:rPr>
                <w:rFonts w:ascii="Tahoma" w:hAnsi="Tahoma" w:cs="Tahoma"/>
                <w:b/>
                <w:bCs/>
                <w:color w:val="6D6E71"/>
                <w:sz w:val="20"/>
                <w:szCs w:val="20"/>
                <w:rtl/>
              </w:rPr>
              <w:t>100</w:t>
            </w:r>
          </w:p>
        </w:tc>
      </w:tr>
    </w:tbl>
    <w:p w14:paraId="3102EBC3" w14:textId="77777777" w:rsidR="00117AE3" w:rsidRPr="00B2550C" w:rsidRDefault="00117AE3" w:rsidP="00103044">
      <w:pPr>
        <w:tabs>
          <w:tab w:val="right" w:pos="-900"/>
        </w:tabs>
        <w:autoSpaceDE w:val="0"/>
        <w:autoSpaceDN w:val="0"/>
        <w:adjustRightInd w:val="0"/>
        <w:spacing w:after="0" w:line="240" w:lineRule="auto"/>
        <w:ind w:left="-900"/>
        <w:contextualSpacing/>
        <w:rPr>
          <w:rFonts w:ascii="Arial" w:hAnsi="Arial"/>
          <w:b/>
          <w:bCs/>
          <w:color w:val="595959"/>
          <w:sz w:val="20"/>
          <w:szCs w:val="20"/>
        </w:rPr>
      </w:pPr>
    </w:p>
    <w:p w14:paraId="581B68E9" w14:textId="77777777" w:rsidR="00117AE3" w:rsidRPr="00757155" w:rsidRDefault="00117AE3" w:rsidP="00917809">
      <w:pPr>
        <w:pStyle w:val="EcoSourceNote"/>
      </w:pPr>
      <w:r w:rsidRPr="00757155">
        <w:t>Source: Statistics Centre - Abu Dhabi</w:t>
      </w:r>
    </w:p>
    <w:p w14:paraId="2E94A104" w14:textId="77777777" w:rsidR="00117AE3" w:rsidRDefault="00117AE3" w:rsidP="00917809">
      <w:pPr>
        <w:pStyle w:val="EcoTableChartNotes"/>
      </w:pPr>
      <w:r w:rsidRPr="00757155">
        <w:t>*Preliminary estimates</w:t>
      </w:r>
    </w:p>
    <w:p w14:paraId="046E736C" w14:textId="77777777" w:rsidR="004210F4" w:rsidRPr="004210F4" w:rsidRDefault="004210F4" w:rsidP="004210F4">
      <w:pPr>
        <w:rPr>
          <w:rFonts w:ascii="Arial" w:eastAsia="Calibri" w:hAnsi="Arial" w:cs="Tahoma"/>
          <w:color w:val="595959" w:themeColor="text1"/>
          <w:sz w:val="18"/>
          <w:szCs w:val="18"/>
          <w:lang w:val="en-GB" w:eastAsia="en-GB" w:bidi="ar-AE"/>
        </w:rPr>
      </w:pPr>
      <w:r w:rsidRPr="004210F4">
        <w:rPr>
          <w:rFonts w:ascii="Arial" w:eastAsia="Calibri" w:hAnsi="Arial" w:cs="Tahoma"/>
          <w:b/>
          <w:bCs/>
          <w:color w:val="595959" w:themeColor="text1"/>
          <w:sz w:val="18"/>
          <w:szCs w:val="18"/>
          <w:lang w:val="en-GB" w:eastAsia="en-GB" w:bidi="ar-AE"/>
        </w:rPr>
        <w:t>Note</w:t>
      </w:r>
      <w:r w:rsidRPr="004210F4">
        <w:rPr>
          <w:rFonts w:ascii="Arial" w:eastAsia="Calibri" w:hAnsi="Arial" w:cs="Tahoma"/>
          <w:color w:val="595959" w:themeColor="text1"/>
          <w:sz w:val="18"/>
          <w:szCs w:val="18"/>
          <w:lang w:val="en-GB" w:eastAsia="en-GB" w:bidi="ar-AE"/>
        </w:rPr>
        <w:t>: Totals may not add to 100 due to rounding.</w:t>
      </w:r>
    </w:p>
    <w:p w14:paraId="48305883" w14:textId="1C60E1B2" w:rsidR="00D70B3A" w:rsidRPr="004210F4" w:rsidRDefault="00D70B3A" w:rsidP="004210F4">
      <w:pPr>
        <w:pStyle w:val="EcoHeading1"/>
        <w:ind w:firstLine="720"/>
        <w:rPr>
          <w:rFonts w:eastAsia="Calibri"/>
          <w:lang w:val="en-US"/>
        </w:rPr>
      </w:pPr>
    </w:p>
    <w:p w14:paraId="01C07036" w14:textId="77777777" w:rsidR="00D70B3A" w:rsidRDefault="00D70B3A" w:rsidP="0089209C">
      <w:pPr>
        <w:pStyle w:val="EcoHeading1"/>
        <w:rPr>
          <w:rFonts w:eastAsia="Calibri"/>
        </w:rPr>
      </w:pPr>
    </w:p>
    <w:p w14:paraId="4E9D85A8" w14:textId="77777777" w:rsidR="00D70B3A" w:rsidRDefault="00D70B3A" w:rsidP="0089209C">
      <w:pPr>
        <w:pStyle w:val="EcoHeading1"/>
        <w:rPr>
          <w:rFonts w:eastAsia="Calibri"/>
        </w:rPr>
      </w:pPr>
    </w:p>
    <w:p w14:paraId="0C1D6729" w14:textId="77777777" w:rsidR="00D70B3A" w:rsidRDefault="00D70B3A" w:rsidP="0089209C">
      <w:pPr>
        <w:pStyle w:val="EcoHeading1"/>
        <w:rPr>
          <w:rFonts w:eastAsia="Calibri"/>
        </w:rPr>
      </w:pPr>
    </w:p>
    <w:p w14:paraId="5F0B544D" w14:textId="77777777" w:rsidR="00D70B3A" w:rsidRDefault="00D70B3A" w:rsidP="0089209C">
      <w:pPr>
        <w:pStyle w:val="EcoHeading1"/>
        <w:rPr>
          <w:rFonts w:eastAsia="Calibri"/>
        </w:rPr>
      </w:pPr>
    </w:p>
    <w:p w14:paraId="50AE07F5" w14:textId="77777777" w:rsidR="00D70B3A" w:rsidRDefault="00D70B3A" w:rsidP="0089209C">
      <w:pPr>
        <w:pStyle w:val="EcoHeading1"/>
        <w:rPr>
          <w:rFonts w:eastAsia="Calibri"/>
        </w:rPr>
      </w:pPr>
    </w:p>
    <w:p w14:paraId="3F7410C1" w14:textId="77777777" w:rsidR="00D70B3A" w:rsidRDefault="00D70B3A" w:rsidP="0089209C">
      <w:pPr>
        <w:pStyle w:val="EcoHeading1"/>
        <w:rPr>
          <w:rFonts w:eastAsia="Calibri"/>
        </w:rPr>
      </w:pPr>
    </w:p>
    <w:p w14:paraId="62B39247" w14:textId="77777777" w:rsidR="00D70B3A" w:rsidRDefault="00D70B3A" w:rsidP="0089209C">
      <w:pPr>
        <w:pStyle w:val="EcoHeading1"/>
        <w:rPr>
          <w:rFonts w:eastAsia="Calibri"/>
        </w:rPr>
      </w:pPr>
    </w:p>
    <w:p w14:paraId="1DFFA9A7" w14:textId="77777777" w:rsidR="00D70B3A" w:rsidRDefault="00D70B3A" w:rsidP="0089209C">
      <w:pPr>
        <w:pStyle w:val="EcoHeading1"/>
        <w:rPr>
          <w:rFonts w:eastAsia="Calibri"/>
        </w:rPr>
      </w:pPr>
    </w:p>
    <w:p w14:paraId="741C28CE" w14:textId="77777777" w:rsidR="00D70B3A" w:rsidRDefault="00D70B3A" w:rsidP="0089209C">
      <w:pPr>
        <w:pStyle w:val="EcoHeading1"/>
        <w:rPr>
          <w:rFonts w:eastAsia="Calibri"/>
        </w:rPr>
      </w:pPr>
    </w:p>
    <w:p w14:paraId="77566F6D" w14:textId="77777777" w:rsidR="00D70B3A" w:rsidRDefault="00D70B3A" w:rsidP="0089209C">
      <w:pPr>
        <w:pStyle w:val="EcoHeading1"/>
        <w:rPr>
          <w:rFonts w:eastAsia="Calibri"/>
        </w:rPr>
      </w:pPr>
    </w:p>
    <w:p w14:paraId="49FDADE5" w14:textId="77777777" w:rsidR="00D70B3A" w:rsidRDefault="00D70B3A" w:rsidP="0089209C">
      <w:pPr>
        <w:pStyle w:val="EcoHeading1"/>
        <w:rPr>
          <w:rFonts w:eastAsia="Calibri"/>
        </w:rPr>
      </w:pPr>
    </w:p>
    <w:p w14:paraId="2405096D" w14:textId="77777777" w:rsidR="00D70B3A" w:rsidRDefault="00D70B3A" w:rsidP="0089209C">
      <w:pPr>
        <w:pStyle w:val="EcoHeading1"/>
        <w:rPr>
          <w:rFonts w:eastAsia="Calibri"/>
        </w:rPr>
      </w:pPr>
    </w:p>
    <w:p w14:paraId="70476F44" w14:textId="77777777" w:rsidR="00D70B3A" w:rsidRDefault="00D70B3A" w:rsidP="0089209C">
      <w:pPr>
        <w:pStyle w:val="EcoHeading1"/>
        <w:rPr>
          <w:rFonts w:eastAsia="Calibri"/>
        </w:rPr>
      </w:pPr>
    </w:p>
    <w:p w14:paraId="157B1E6F" w14:textId="77777777" w:rsidR="00D70B3A" w:rsidRDefault="00D70B3A" w:rsidP="0089209C">
      <w:pPr>
        <w:pStyle w:val="EcoHeading1"/>
        <w:rPr>
          <w:rFonts w:eastAsia="Calibri"/>
        </w:rPr>
      </w:pPr>
    </w:p>
    <w:p w14:paraId="15E882E5" w14:textId="77777777" w:rsidR="00015807" w:rsidRDefault="00015807" w:rsidP="0089209C">
      <w:pPr>
        <w:pStyle w:val="EcoHeading1"/>
        <w:rPr>
          <w:rFonts w:eastAsia="Calibri"/>
        </w:rPr>
      </w:pPr>
    </w:p>
    <w:p w14:paraId="13F235E7" w14:textId="77777777" w:rsidR="00015807" w:rsidRPr="00EE0BAD" w:rsidRDefault="00015807" w:rsidP="0089209C">
      <w:pPr>
        <w:pStyle w:val="EcoHeading1"/>
        <w:rPr>
          <w:rFonts w:eastAsia="Calibri"/>
        </w:rPr>
      </w:pPr>
    </w:p>
    <w:p w14:paraId="2F4B43BE" w14:textId="77777777" w:rsidR="00D70B3A" w:rsidRDefault="00D70B3A" w:rsidP="0089209C">
      <w:pPr>
        <w:pStyle w:val="EcoHeading1"/>
        <w:rPr>
          <w:rFonts w:eastAsia="Calibri"/>
        </w:rPr>
      </w:pPr>
    </w:p>
    <w:p w14:paraId="7572AB6F" w14:textId="77777777" w:rsidR="00D70B3A" w:rsidRDefault="00D70B3A" w:rsidP="0089209C">
      <w:pPr>
        <w:pStyle w:val="EcoHeading1"/>
        <w:rPr>
          <w:rFonts w:eastAsia="Calibri"/>
        </w:rPr>
      </w:pPr>
    </w:p>
    <w:p w14:paraId="1C31156F" w14:textId="77777777" w:rsidR="007153F6" w:rsidRDefault="007153F6" w:rsidP="0089209C">
      <w:pPr>
        <w:pStyle w:val="EcoHeading1"/>
        <w:rPr>
          <w:rFonts w:eastAsia="Calibri"/>
        </w:rPr>
      </w:pPr>
    </w:p>
    <w:p w14:paraId="22101513" w14:textId="77777777" w:rsidR="007153F6" w:rsidRDefault="007153F6" w:rsidP="0089209C">
      <w:pPr>
        <w:pStyle w:val="EcoHeading1"/>
        <w:rPr>
          <w:rFonts w:eastAsia="Calibri"/>
        </w:rPr>
      </w:pPr>
    </w:p>
    <w:p w14:paraId="09C8B03F" w14:textId="77777777" w:rsidR="00117AE3" w:rsidRPr="00DC677F" w:rsidRDefault="00117AE3" w:rsidP="00DC677F">
      <w:pPr>
        <w:pStyle w:val="EcoHeading1"/>
        <w:ind w:firstLine="810"/>
      </w:pPr>
      <w:r w:rsidRPr="00DC677F">
        <w:lastRenderedPageBreak/>
        <w:t>Explanatory Notes</w:t>
      </w:r>
    </w:p>
    <w:p w14:paraId="731E0A9E" w14:textId="77777777" w:rsidR="00117AE3" w:rsidRPr="00B2550C" w:rsidRDefault="00117AE3" w:rsidP="00117AE3">
      <w:pPr>
        <w:rPr>
          <w:rFonts w:ascii="Arial" w:eastAsia="Calibri" w:hAnsi="Arial"/>
          <w:b/>
          <w:bCs/>
          <w:color w:val="595959"/>
          <w:sz w:val="20"/>
          <w:szCs w:val="20"/>
        </w:rPr>
      </w:pPr>
    </w:p>
    <w:p w14:paraId="628A5644" w14:textId="77777777" w:rsidR="00117AE3" w:rsidRPr="00B2550C" w:rsidRDefault="00117AE3" w:rsidP="00117AE3">
      <w:pPr>
        <w:jc w:val="both"/>
        <w:rPr>
          <w:rFonts w:ascii="Arial" w:eastAsia="Calibri" w:hAnsi="Arial"/>
          <w:b/>
          <w:bCs/>
          <w:color w:val="595959"/>
          <w:sz w:val="20"/>
          <w:szCs w:val="20"/>
        </w:rPr>
      </w:pPr>
      <w:r w:rsidRPr="00B2550C">
        <w:rPr>
          <w:rFonts w:ascii="Arial" w:eastAsia="Calibri" w:hAnsi="Arial"/>
          <w:b/>
          <w:bCs/>
          <w:color w:val="595959"/>
          <w:sz w:val="20"/>
          <w:szCs w:val="20"/>
        </w:rPr>
        <w:t>Technical notes</w:t>
      </w:r>
    </w:p>
    <w:p w14:paraId="701C6D1B" w14:textId="77777777" w:rsidR="00117AE3" w:rsidRPr="00B2550C" w:rsidRDefault="00117AE3" w:rsidP="00117AE3">
      <w:pPr>
        <w:pStyle w:val="NormalWeb"/>
        <w:spacing w:before="0" w:beforeAutospacing="0" w:after="200" w:afterAutospacing="0" w:line="360" w:lineRule="auto"/>
        <w:ind w:right="216"/>
        <w:jc w:val="both"/>
        <w:textAlignment w:val="baseline"/>
        <w:rPr>
          <w:rFonts w:ascii="Arial" w:eastAsia="Calibri" w:hAnsi="Arial" w:cs="Arial"/>
          <w:b/>
          <w:color w:val="595959"/>
          <w:sz w:val="20"/>
          <w:szCs w:val="20"/>
        </w:rPr>
      </w:pPr>
      <w:r w:rsidRPr="00B2550C">
        <w:rPr>
          <w:rFonts w:ascii="Arial" w:eastAsia="Calibri" w:hAnsi="Arial" w:cs="Arial"/>
          <w:b/>
          <w:color w:val="595959"/>
          <w:sz w:val="20"/>
          <w:szCs w:val="20"/>
        </w:rPr>
        <w:t>Compilation framework</w:t>
      </w:r>
    </w:p>
    <w:p w14:paraId="0D928F0F" w14:textId="76AF9538" w:rsidR="00117AE3" w:rsidRPr="00B2550C" w:rsidRDefault="00117AE3" w:rsidP="00117AE3">
      <w:pPr>
        <w:pStyle w:val="NormalWeb"/>
        <w:spacing w:before="0" w:beforeAutospacing="0" w:after="200" w:afterAutospacing="0" w:line="360" w:lineRule="auto"/>
        <w:ind w:right="216"/>
        <w:jc w:val="both"/>
        <w:textAlignment w:val="baseline"/>
        <w:rPr>
          <w:rFonts w:ascii="Arial" w:eastAsia="Calibri" w:hAnsi="Arial" w:cs="Arial"/>
          <w:bCs/>
          <w:color w:val="595959"/>
          <w:sz w:val="20"/>
          <w:szCs w:val="20"/>
        </w:rPr>
      </w:pPr>
      <w:r w:rsidRPr="00B2550C">
        <w:rPr>
          <w:rFonts w:ascii="Arial" w:eastAsia="Calibri" w:hAnsi="Arial" w:cs="Arial"/>
          <w:bCs/>
          <w:color w:val="595959"/>
          <w:sz w:val="20"/>
          <w:szCs w:val="20"/>
        </w:rPr>
        <w:t>The statistics in this publication ha</w:t>
      </w:r>
      <w:r w:rsidR="002E6BC1">
        <w:rPr>
          <w:rFonts w:ascii="Arial" w:eastAsia="Calibri" w:hAnsi="Arial" w:cs="Arial"/>
          <w:bCs/>
          <w:color w:val="595959"/>
          <w:sz w:val="20"/>
          <w:szCs w:val="20"/>
        </w:rPr>
        <w:t>ve</w:t>
      </w:r>
      <w:r w:rsidRPr="00B2550C">
        <w:rPr>
          <w:rFonts w:ascii="Arial" w:eastAsia="Calibri" w:hAnsi="Arial" w:cs="Arial"/>
          <w:bCs/>
          <w:color w:val="595959"/>
          <w:sz w:val="20"/>
          <w:szCs w:val="20"/>
        </w:rPr>
        <w:t xml:space="preserve"> been compiled using the System of National Accounts 1993 international framework.</w:t>
      </w:r>
    </w:p>
    <w:p w14:paraId="4A86FBCE" w14:textId="77777777" w:rsidR="00117AE3" w:rsidRPr="00B2550C" w:rsidRDefault="00117AE3" w:rsidP="00117AE3">
      <w:pPr>
        <w:pStyle w:val="NormalWeb"/>
        <w:spacing w:before="0" w:beforeAutospacing="0" w:after="200" w:afterAutospacing="0" w:line="360" w:lineRule="auto"/>
        <w:ind w:right="216"/>
        <w:jc w:val="both"/>
        <w:textAlignment w:val="baseline"/>
        <w:rPr>
          <w:rFonts w:ascii="Arial" w:eastAsia="Calibri" w:hAnsi="Arial" w:cs="Arial"/>
          <w:b/>
          <w:color w:val="595959"/>
          <w:sz w:val="20"/>
          <w:szCs w:val="20"/>
        </w:rPr>
      </w:pPr>
      <w:r w:rsidRPr="00B2550C">
        <w:rPr>
          <w:rFonts w:ascii="Arial" w:eastAsia="Calibri" w:hAnsi="Arial" w:cs="Arial"/>
          <w:b/>
          <w:color w:val="595959"/>
          <w:sz w:val="20"/>
          <w:szCs w:val="20"/>
        </w:rPr>
        <w:t>Economic territory</w:t>
      </w:r>
    </w:p>
    <w:p w14:paraId="3776E102" w14:textId="3F3BFF3C" w:rsidR="00117AE3" w:rsidRPr="00B2550C" w:rsidRDefault="00117AE3" w:rsidP="00A14704">
      <w:pPr>
        <w:pStyle w:val="NormalWeb"/>
        <w:spacing w:before="0" w:beforeAutospacing="0" w:after="200" w:afterAutospacing="0" w:line="360" w:lineRule="auto"/>
        <w:ind w:right="216"/>
        <w:jc w:val="both"/>
        <w:textAlignment w:val="baseline"/>
        <w:rPr>
          <w:rFonts w:ascii="Arial" w:hAnsi="Arial" w:cs="Arial"/>
          <w:bCs/>
          <w:color w:val="595959"/>
          <w:sz w:val="20"/>
          <w:szCs w:val="20"/>
        </w:rPr>
      </w:pPr>
      <w:r w:rsidRPr="00B2550C">
        <w:rPr>
          <w:rFonts w:ascii="Arial" w:hAnsi="Arial" w:cs="Arial"/>
          <w:bCs/>
          <w:color w:val="595959"/>
          <w:sz w:val="20"/>
          <w:szCs w:val="20"/>
        </w:rPr>
        <w:t xml:space="preserve">The statistical boundary covers all economic activity of institutional units resident to the Emirate of Abu Dhabi. Activity of units that are not resident to the Emirate of Abu Dhabi is excluded. However, many units in the UAE whether resident or non-resident to Abu Dhabi Emirate have branches across multiple emirates. This can lead to difficulties in collecting </w:t>
      </w:r>
      <w:r w:rsidRPr="00C21FE2">
        <w:rPr>
          <w:rFonts w:ascii="Arial" w:hAnsi="Arial" w:cs="Arial"/>
          <w:bCs/>
          <w:color w:val="595959"/>
          <w:sz w:val="20"/>
          <w:szCs w:val="20"/>
        </w:rPr>
        <w:t>Abu Dhabi</w:t>
      </w:r>
      <w:r w:rsidR="00A14704">
        <w:rPr>
          <w:rFonts w:ascii="Arial" w:hAnsi="Arial" w:cs="Arial"/>
          <w:bCs/>
          <w:color w:val="595959"/>
          <w:sz w:val="20"/>
          <w:szCs w:val="20"/>
        </w:rPr>
        <w:t>-</w:t>
      </w:r>
      <w:r w:rsidRPr="00C21FE2">
        <w:rPr>
          <w:rFonts w:ascii="Arial" w:hAnsi="Arial" w:cs="Arial"/>
          <w:bCs/>
          <w:color w:val="595959"/>
          <w:sz w:val="20"/>
          <w:szCs w:val="20"/>
        </w:rPr>
        <w:t>only</w:t>
      </w:r>
      <w:r w:rsidRPr="00B2550C">
        <w:rPr>
          <w:rFonts w:ascii="Arial" w:hAnsi="Arial" w:cs="Arial"/>
          <w:bCs/>
          <w:color w:val="595959"/>
          <w:sz w:val="20"/>
          <w:szCs w:val="20"/>
        </w:rPr>
        <w:t xml:space="preserve"> data, particularly when the head office is located in another emirate. SCAD is working towards implementing new collection strategies that will minimize the impact of this issue on the national accounts.</w:t>
      </w:r>
    </w:p>
    <w:p w14:paraId="66A2D507" w14:textId="77777777" w:rsidR="00117AE3" w:rsidRPr="00B2550C" w:rsidRDefault="00117AE3" w:rsidP="00117AE3">
      <w:pPr>
        <w:pStyle w:val="NormalWeb"/>
        <w:spacing w:before="0" w:beforeAutospacing="0" w:after="200" w:afterAutospacing="0" w:line="360" w:lineRule="auto"/>
        <w:ind w:right="216"/>
        <w:jc w:val="both"/>
        <w:textAlignment w:val="baseline"/>
        <w:rPr>
          <w:rFonts w:ascii="Arial" w:hAnsi="Arial" w:cs="Arial"/>
          <w:b/>
          <w:color w:val="595959"/>
          <w:sz w:val="20"/>
          <w:szCs w:val="20"/>
        </w:rPr>
      </w:pPr>
      <w:r w:rsidRPr="00B2550C">
        <w:rPr>
          <w:rFonts w:ascii="Arial" w:hAnsi="Arial" w:cs="Arial"/>
          <w:b/>
          <w:color w:val="595959"/>
          <w:sz w:val="20"/>
          <w:szCs w:val="20"/>
        </w:rPr>
        <w:t>Data sources</w:t>
      </w:r>
    </w:p>
    <w:p w14:paraId="0FD35C71" w14:textId="77777777" w:rsidR="00117AE3" w:rsidRPr="00B2550C" w:rsidRDefault="00117AE3" w:rsidP="00117AE3">
      <w:pPr>
        <w:autoSpaceDE w:val="0"/>
        <w:autoSpaceDN w:val="0"/>
        <w:adjustRightInd w:val="0"/>
        <w:spacing w:after="0" w:line="360" w:lineRule="auto"/>
        <w:jc w:val="both"/>
        <w:rPr>
          <w:rFonts w:ascii="Arial" w:hAnsi="Arial"/>
          <w:color w:val="595959"/>
          <w:sz w:val="20"/>
          <w:szCs w:val="20"/>
        </w:rPr>
      </w:pPr>
      <w:r w:rsidRPr="00B2550C">
        <w:rPr>
          <w:rFonts w:ascii="Arial" w:hAnsi="Arial"/>
          <w:color w:val="595959"/>
          <w:sz w:val="20"/>
          <w:szCs w:val="20"/>
        </w:rPr>
        <w:t>The main data source for the current price series is the SCAD Quarterly Economic Survey (QES). However many other data sources have been used to supplement the survey data in order to best compile the statistical estimates. Other data sources include, but are not limited to, government financial data; administrative data from other Government and non-government entities; international commodity prices; and other international statistical agency data.</w:t>
      </w:r>
    </w:p>
    <w:p w14:paraId="3A8E07EF" w14:textId="77777777" w:rsidR="00117AE3" w:rsidRPr="00B2550C" w:rsidRDefault="00117AE3" w:rsidP="00117AE3">
      <w:pPr>
        <w:autoSpaceDE w:val="0"/>
        <w:autoSpaceDN w:val="0"/>
        <w:adjustRightInd w:val="0"/>
        <w:spacing w:after="0" w:line="360" w:lineRule="auto"/>
        <w:jc w:val="both"/>
        <w:rPr>
          <w:rFonts w:ascii="Arial" w:hAnsi="Arial"/>
          <w:color w:val="595959"/>
          <w:sz w:val="20"/>
          <w:szCs w:val="20"/>
        </w:rPr>
      </w:pPr>
    </w:p>
    <w:p w14:paraId="75D32E18" w14:textId="77777777" w:rsidR="00117AE3" w:rsidRPr="00B2550C" w:rsidRDefault="00117AE3" w:rsidP="00117AE3">
      <w:pPr>
        <w:autoSpaceDE w:val="0"/>
        <w:autoSpaceDN w:val="0"/>
        <w:adjustRightInd w:val="0"/>
        <w:spacing w:after="0" w:line="360" w:lineRule="auto"/>
        <w:jc w:val="both"/>
        <w:rPr>
          <w:rFonts w:ascii="Arial" w:hAnsi="Arial"/>
          <w:b/>
          <w:bCs/>
          <w:color w:val="595959"/>
          <w:sz w:val="20"/>
          <w:szCs w:val="20"/>
        </w:rPr>
      </w:pPr>
      <w:r w:rsidRPr="00B2550C">
        <w:rPr>
          <w:rFonts w:ascii="Arial" w:hAnsi="Arial"/>
          <w:b/>
          <w:bCs/>
          <w:color w:val="595959"/>
          <w:sz w:val="20"/>
          <w:szCs w:val="20"/>
        </w:rPr>
        <w:t>Constant price methodology</w:t>
      </w:r>
    </w:p>
    <w:p w14:paraId="419C397E" w14:textId="2048481B" w:rsidR="00117AE3" w:rsidRDefault="00117AE3" w:rsidP="00117AE3">
      <w:pPr>
        <w:autoSpaceDE w:val="0"/>
        <w:autoSpaceDN w:val="0"/>
        <w:adjustRightInd w:val="0"/>
        <w:spacing w:after="0" w:line="360" w:lineRule="auto"/>
        <w:jc w:val="both"/>
        <w:rPr>
          <w:rFonts w:ascii="Arial" w:hAnsi="Arial"/>
          <w:color w:val="595959"/>
          <w:sz w:val="20"/>
          <w:szCs w:val="20"/>
        </w:rPr>
      </w:pPr>
      <w:r w:rsidRPr="00B2550C">
        <w:rPr>
          <w:rFonts w:ascii="Arial" w:hAnsi="Arial"/>
          <w:color w:val="595959"/>
          <w:sz w:val="20"/>
          <w:szCs w:val="20"/>
        </w:rPr>
        <w:t>The constant price statistics have been calculated using different methodologies to remove the price effect</w:t>
      </w:r>
      <w:r w:rsidR="008B41C6">
        <w:rPr>
          <w:rFonts w:ascii="Arial" w:hAnsi="Arial"/>
          <w:color w:val="595959"/>
          <w:sz w:val="20"/>
          <w:szCs w:val="20"/>
        </w:rPr>
        <w:t xml:space="preserve"> and observe actual growth</w:t>
      </w:r>
      <w:r w:rsidRPr="00B2550C">
        <w:rPr>
          <w:rFonts w:ascii="Arial" w:hAnsi="Arial"/>
          <w:color w:val="595959"/>
          <w:sz w:val="20"/>
          <w:szCs w:val="20"/>
        </w:rPr>
        <w:t xml:space="preserve">. The two methods used are price deflation and volume extrapolation. Price deflation requires that a current price series </w:t>
      </w:r>
      <w:r>
        <w:rPr>
          <w:rFonts w:ascii="Arial" w:hAnsi="Arial"/>
          <w:color w:val="595959"/>
          <w:sz w:val="20"/>
          <w:szCs w:val="20"/>
        </w:rPr>
        <w:t>be</w:t>
      </w:r>
      <w:r w:rsidRPr="00B2550C">
        <w:rPr>
          <w:rFonts w:ascii="Arial" w:hAnsi="Arial"/>
          <w:color w:val="595959"/>
          <w:sz w:val="20"/>
          <w:szCs w:val="20"/>
        </w:rPr>
        <w:t xml:space="preserve"> divided by a price deflator series; this creates a constant price series. Volume extrapolation requires a current price series and a volume indicator series</w:t>
      </w:r>
      <w:r w:rsidRPr="00A14704">
        <w:rPr>
          <w:rFonts w:ascii="Arial" w:hAnsi="Arial"/>
          <w:color w:val="595959"/>
          <w:sz w:val="20"/>
          <w:szCs w:val="20"/>
        </w:rPr>
        <w:t xml:space="preserve">.  </w:t>
      </w:r>
      <w:r w:rsidRPr="00B2550C">
        <w:rPr>
          <w:rFonts w:ascii="Arial" w:hAnsi="Arial"/>
          <w:color w:val="595959"/>
          <w:sz w:val="20"/>
          <w:szCs w:val="20"/>
        </w:rPr>
        <w:t>This method applies the growth rates of the volume indicator series to the current price series in the base year to create a constant price series.</w:t>
      </w:r>
    </w:p>
    <w:p w14:paraId="2A96CB94" w14:textId="77777777" w:rsidR="003A16FA" w:rsidRDefault="003A16FA" w:rsidP="00117AE3">
      <w:pPr>
        <w:autoSpaceDE w:val="0"/>
        <w:autoSpaceDN w:val="0"/>
        <w:adjustRightInd w:val="0"/>
        <w:spacing w:after="0" w:line="360" w:lineRule="auto"/>
        <w:jc w:val="both"/>
        <w:rPr>
          <w:rFonts w:ascii="Arial" w:hAnsi="Arial"/>
          <w:color w:val="595959"/>
          <w:sz w:val="20"/>
          <w:szCs w:val="20"/>
        </w:rPr>
      </w:pPr>
    </w:p>
    <w:p w14:paraId="760CA88E" w14:textId="6CD60D7D" w:rsidR="003A16FA" w:rsidRPr="002D61F0" w:rsidRDefault="003A16FA" w:rsidP="00117AE3">
      <w:pPr>
        <w:autoSpaceDE w:val="0"/>
        <w:autoSpaceDN w:val="0"/>
        <w:adjustRightInd w:val="0"/>
        <w:spacing w:after="0" w:line="360" w:lineRule="auto"/>
        <w:jc w:val="both"/>
        <w:rPr>
          <w:rFonts w:ascii="Arial" w:hAnsi="Arial"/>
          <w:b/>
          <w:bCs/>
          <w:color w:val="595959"/>
          <w:sz w:val="20"/>
          <w:szCs w:val="20"/>
        </w:rPr>
      </w:pPr>
      <w:r w:rsidRPr="002D61F0">
        <w:rPr>
          <w:rFonts w:ascii="Arial" w:hAnsi="Arial"/>
          <w:b/>
          <w:bCs/>
          <w:color w:val="595959"/>
          <w:sz w:val="20"/>
          <w:szCs w:val="20"/>
        </w:rPr>
        <w:t>Valuation</w:t>
      </w:r>
    </w:p>
    <w:p w14:paraId="7C81294B" w14:textId="0FC31B97" w:rsidR="003A16FA" w:rsidRPr="003A16FA" w:rsidRDefault="003A16FA" w:rsidP="00942F76">
      <w:pPr>
        <w:autoSpaceDE w:val="0"/>
        <w:autoSpaceDN w:val="0"/>
        <w:adjustRightInd w:val="0"/>
        <w:spacing w:after="0" w:line="360" w:lineRule="auto"/>
        <w:jc w:val="both"/>
        <w:rPr>
          <w:rFonts w:ascii="Arial" w:hAnsi="Arial"/>
          <w:color w:val="595959"/>
          <w:sz w:val="20"/>
          <w:szCs w:val="20"/>
        </w:rPr>
      </w:pPr>
      <w:r w:rsidRPr="00F72CA1">
        <w:rPr>
          <w:rFonts w:ascii="Arial" w:hAnsi="Arial"/>
          <w:color w:val="595959"/>
          <w:sz w:val="20"/>
          <w:szCs w:val="20"/>
        </w:rPr>
        <w:t xml:space="preserve">The value added series is derived at </w:t>
      </w:r>
      <w:r w:rsidR="003B5E9C" w:rsidRPr="00F72CA1">
        <w:rPr>
          <w:rFonts w:ascii="Arial" w:hAnsi="Arial"/>
          <w:color w:val="595959"/>
          <w:sz w:val="20"/>
          <w:szCs w:val="20"/>
        </w:rPr>
        <w:t>basic</w:t>
      </w:r>
      <w:r w:rsidRPr="00F72CA1">
        <w:rPr>
          <w:rFonts w:ascii="Arial" w:hAnsi="Arial"/>
          <w:color w:val="595959"/>
          <w:sz w:val="20"/>
          <w:szCs w:val="20"/>
        </w:rPr>
        <w:t xml:space="preserve"> prices. This means </w:t>
      </w:r>
      <w:r w:rsidR="00942F76" w:rsidRPr="00F72CA1">
        <w:rPr>
          <w:rFonts w:ascii="Arial" w:hAnsi="Arial"/>
          <w:color w:val="595959"/>
          <w:sz w:val="20"/>
          <w:szCs w:val="20"/>
        </w:rPr>
        <w:t>Value Added Tax (</w:t>
      </w:r>
      <w:r w:rsidRPr="00F72CA1">
        <w:rPr>
          <w:rFonts w:ascii="Arial" w:hAnsi="Arial"/>
          <w:color w:val="595959"/>
          <w:sz w:val="20"/>
          <w:szCs w:val="20"/>
        </w:rPr>
        <w:t>VAT</w:t>
      </w:r>
      <w:r w:rsidR="00942F76" w:rsidRPr="00F72CA1">
        <w:rPr>
          <w:rFonts w:ascii="Arial" w:hAnsi="Arial"/>
          <w:color w:val="595959"/>
          <w:sz w:val="20"/>
          <w:szCs w:val="20"/>
        </w:rPr>
        <w:t>)</w:t>
      </w:r>
      <w:r w:rsidRPr="00F72CA1">
        <w:rPr>
          <w:rFonts w:ascii="Arial" w:hAnsi="Arial"/>
          <w:color w:val="595959"/>
          <w:sz w:val="20"/>
          <w:szCs w:val="20"/>
        </w:rPr>
        <w:t xml:space="preserve"> </w:t>
      </w:r>
      <w:r w:rsidR="00942F76" w:rsidRPr="00F72CA1">
        <w:rPr>
          <w:rFonts w:ascii="Arial" w:hAnsi="Arial"/>
          <w:color w:val="595959"/>
          <w:sz w:val="20"/>
          <w:szCs w:val="20"/>
        </w:rPr>
        <w:t>is</w:t>
      </w:r>
      <w:r w:rsidR="003B5E9C" w:rsidRPr="00F72CA1">
        <w:rPr>
          <w:rFonts w:ascii="Arial" w:hAnsi="Arial"/>
          <w:color w:val="595959"/>
          <w:sz w:val="20"/>
          <w:szCs w:val="20"/>
        </w:rPr>
        <w:t xml:space="preserve"> excluded </w:t>
      </w:r>
      <w:r w:rsidRPr="00F72CA1">
        <w:rPr>
          <w:rFonts w:ascii="Arial" w:hAnsi="Arial"/>
          <w:color w:val="595959"/>
          <w:sz w:val="20"/>
          <w:szCs w:val="20"/>
        </w:rPr>
        <w:t xml:space="preserve">and subsidies on products are </w:t>
      </w:r>
      <w:r w:rsidR="003B5E9C" w:rsidRPr="00F72CA1">
        <w:rPr>
          <w:rFonts w:ascii="Arial" w:hAnsi="Arial"/>
          <w:color w:val="595959"/>
          <w:sz w:val="20"/>
          <w:szCs w:val="20"/>
        </w:rPr>
        <w:t>in</w:t>
      </w:r>
      <w:r w:rsidRPr="00F72CA1">
        <w:rPr>
          <w:rFonts w:ascii="Arial" w:hAnsi="Arial"/>
          <w:color w:val="595959"/>
          <w:sz w:val="20"/>
          <w:szCs w:val="20"/>
        </w:rPr>
        <w:t>cluded.</w:t>
      </w:r>
    </w:p>
    <w:p w14:paraId="21566A78" w14:textId="77777777" w:rsidR="00117AE3" w:rsidRPr="00B2550C" w:rsidRDefault="00117AE3" w:rsidP="00117AE3">
      <w:pPr>
        <w:autoSpaceDE w:val="0"/>
        <w:autoSpaceDN w:val="0"/>
        <w:adjustRightInd w:val="0"/>
        <w:spacing w:after="0" w:line="360" w:lineRule="auto"/>
        <w:jc w:val="both"/>
        <w:rPr>
          <w:rFonts w:ascii="Arial" w:hAnsi="Arial"/>
          <w:color w:val="595959"/>
          <w:sz w:val="20"/>
          <w:szCs w:val="20"/>
        </w:rPr>
      </w:pPr>
    </w:p>
    <w:p w14:paraId="0B3F5351" w14:textId="77777777" w:rsidR="00117AE3" w:rsidRPr="00B2550C" w:rsidRDefault="00117AE3" w:rsidP="00117AE3">
      <w:pPr>
        <w:autoSpaceDE w:val="0"/>
        <w:autoSpaceDN w:val="0"/>
        <w:adjustRightInd w:val="0"/>
        <w:spacing w:after="0" w:line="360" w:lineRule="auto"/>
        <w:jc w:val="both"/>
        <w:rPr>
          <w:rFonts w:ascii="Arial" w:hAnsi="Arial"/>
          <w:b/>
          <w:bCs/>
          <w:color w:val="595959"/>
          <w:sz w:val="20"/>
          <w:szCs w:val="20"/>
        </w:rPr>
      </w:pPr>
      <w:r w:rsidRPr="00B2550C">
        <w:rPr>
          <w:rFonts w:ascii="Arial" w:hAnsi="Arial"/>
          <w:b/>
          <w:bCs/>
          <w:color w:val="595959"/>
          <w:sz w:val="20"/>
          <w:szCs w:val="20"/>
        </w:rPr>
        <w:t>Reference and base year 2007</w:t>
      </w:r>
    </w:p>
    <w:p w14:paraId="176BF61D" w14:textId="77777777" w:rsidR="00117AE3" w:rsidRPr="00B2550C" w:rsidRDefault="00117AE3" w:rsidP="00A706EF">
      <w:pPr>
        <w:autoSpaceDE w:val="0"/>
        <w:autoSpaceDN w:val="0"/>
        <w:adjustRightInd w:val="0"/>
        <w:spacing w:after="0" w:line="360" w:lineRule="auto"/>
        <w:jc w:val="both"/>
        <w:rPr>
          <w:rFonts w:ascii="Arial" w:hAnsi="Arial"/>
          <w:color w:val="595959"/>
          <w:sz w:val="20"/>
          <w:szCs w:val="20"/>
        </w:rPr>
      </w:pPr>
      <w:r w:rsidRPr="00D93FED">
        <w:rPr>
          <w:rFonts w:ascii="Arial" w:hAnsi="Arial"/>
          <w:color w:val="595959"/>
          <w:sz w:val="20"/>
          <w:szCs w:val="20"/>
        </w:rPr>
        <w:t xml:space="preserve">The quarterly GDP estimates for </w:t>
      </w:r>
      <w:r w:rsidR="00A706EF" w:rsidRPr="00D93FED">
        <w:rPr>
          <w:rFonts w:ascii="Arial" w:hAnsi="Arial"/>
          <w:color w:val="595959"/>
          <w:sz w:val="20"/>
          <w:szCs w:val="20"/>
        </w:rPr>
        <w:t>all reference years a</w:t>
      </w:r>
      <w:r w:rsidRPr="00D93FED">
        <w:rPr>
          <w:rFonts w:ascii="Arial" w:hAnsi="Arial"/>
          <w:color w:val="595959"/>
          <w:sz w:val="20"/>
          <w:szCs w:val="20"/>
        </w:rPr>
        <w:t xml:space="preserve">re benchmarked against the annual GDP. As a result, the sum of the GDP for the four quarters of </w:t>
      </w:r>
      <w:r w:rsidR="00A706EF" w:rsidRPr="00D93FED">
        <w:rPr>
          <w:rFonts w:ascii="Arial" w:hAnsi="Arial"/>
          <w:color w:val="595959"/>
          <w:sz w:val="20"/>
          <w:szCs w:val="20"/>
        </w:rPr>
        <w:t>each year are</w:t>
      </w:r>
      <w:r w:rsidRPr="00D93FED">
        <w:rPr>
          <w:rFonts w:ascii="Arial" w:hAnsi="Arial"/>
          <w:color w:val="595959"/>
          <w:sz w:val="20"/>
          <w:szCs w:val="20"/>
        </w:rPr>
        <w:t xml:space="preserve"> equal to the annual GDP</w:t>
      </w:r>
      <w:r w:rsidR="00A706EF" w:rsidRPr="00D93FED">
        <w:rPr>
          <w:rFonts w:ascii="Arial" w:hAnsi="Arial"/>
          <w:color w:val="595959"/>
          <w:sz w:val="20"/>
          <w:szCs w:val="20"/>
        </w:rPr>
        <w:t xml:space="preserve"> for the same year.</w:t>
      </w:r>
      <w:r w:rsidRPr="00B2550C">
        <w:rPr>
          <w:rFonts w:ascii="Arial" w:hAnsi="Arial"/>
          <w:color w:val="595959"/>
          <w:sz w:val="20"/>
          <w:szCs w:val="20"/>
        </w:rPr>
        <w:t xml:space="preserve"> The annual constant price series, which is the benchmark for the calculation of the quarterly GDP series, has a reference and base year of 2007. </w:t>
      </w:r>
    </w:p>
    <w:p w14:paraId="42150130" w14:textId="77777777" w:rsidR="006B5345" w:rsidRDefault="006B5345" w:rsidP="00117AE3">
      <w:pPr>
        <w:autoSpaceDE w:val="0"/>
        <w:autoSpaceDN w:val="0"/>
        <w:adjustRightInd w:val="0"/>
        <w:spacing w:after="0" w:line="360" w:lineRule="auto"/>
        <w:jc w:val="both"/>
        <w:rPr>
          <w:rFonts w:ascii="Arial" w:hAnsi="Arial"/>
          <w:b/>
          <w:bCs/>
          <w:color w:val="595959"/>
          <w:sz w:val="20"/>
          <w:szCs w:val="20"/>
        </w:rPr>
      </w:pPr>
    </w:p>
    <w:p w14:paraId="3042539D" w14:textId="77777777" w:rsidR="00117AE3" w:rsidRPr="00B2550C" w:rsidRDefault="00117AE3" w:rsidP="00117AE3">
      <w:pPr>
        <w:autoSpaceDE w:val="0"/>
        <w:autoSpaceDN w:val="0"/>
        <w:adjustRightInd w:val="0"/>
        <w:spacing w:after="0" w:line="360" w:lineRule="auto"/>
        <w:jc w:val="both"/>
        <w:rPr>
          <w:rFonts w:ascii="Arial" w:hAnsi="Arial"/>
          <w:b/>
          <w:bCs/>
          <w:color w:val="595959"/>
          <w:sz w:val="20"/>
          <w:szCs w:val="20"/>
        </w:rPr>
      </w:pPr>
      <w:r w:rsidRPr="00B2550C">
        <w:rPr>
          <w:rFonts w:ascii="Arial" w:hAnsi="Arial"/>
          <w:b/>
          <w:bCs/>
          <w:color w:val="595959"/>
          <w:sz w:val="20"/>
          <w:szCs w:val="20"/>
        </w:rPr>
        <w:t>Survey frame update</w:t>
      </w:r>
    </w:p>
    <w:p w14:paraId="7B8E743D" w14:textId="38E0F0A4" w:rsidR="00117AE3" w:rsidRPr="00B2550C" w:rsidRDefault="00117AE3" w:rsidP="005F5195">
      <w:pPr>
        <w:autoSpaceDE w:val="0"/>
        <w:autoSpaceDN w:val="0"/>
        <w:adjustRightInd w:val="0"/>
        <w:spacing w:after="0" w:line="360" w:lineRule="auto"/>
        <w:jc w:val="both"/>
        <w:rPr>
          <w:rFonts w:ascii="Arial" w:hAnsi="Arial"/>
          <w:color w:val="595959"/>
          <w:sz w:val="20"/>
          <w:szCs w:val="20"/>
        </w:rPr>
      </w:pPr>
      <w:r w:rsidRPr="00B2550C">
        <w:rPr>
          <w:rFonts w:ascii="Arial" w:hAnsi="Arial"/>
          <w:color w:val="595959"/>
          <w:sz w:val="20"/>
          <w:szCs w:val="20"/>
        </w:rPr>
        <w:t>The economic surveys performed by SCAD are based on a comprehensive unit record data frame maintained by SCAD. This register is used in the selection and weighting of surveyed establishments. In 2010, SCAD undertook a large-scale project to update the frame</w:t>
      </w:r>
      <w:r w:rsidR="008B41C6">
        <w:rPr>
          <w:rFonts w:ascii="Arial" w:hAnsi="Arial"/>
          <w:color w:val="595959"/>
          <w:sz w:val="20"/>
          <w:szCs w:val="20"/>
        </w:rPr>
        <w:t>;</w:t>
      </w:r>
      <w:r w:rsidRPr="00B2550C">
        <w:rPr>
          <w:rFonts w:ascii="Arial" w:hAnsi="Arial"/>
          <w:color w:val="595959"/>
          <w:sz w:val="20"/>
          <w:szCs w:val="20"/>
        </w:rPr>
        <w:t xml:space="preserve"> a newly updated frame</w:t>
      </w:r>
      <w:r w:rsidR="008B41C6">
        <w:rPr>
          <w:rFonts w:ascii="Arial" w:hAnsi="Arial"/>
          <w:color w:val="595959"/>
          <w:sz w:val="20"/>
          <w:szCs w:val="20"/>
        </w:rPr>
        <w:t>work</w:t>
      </w:r>
      <w:r w:rsidRPr="00B2550C">
        <w:rPr>
          <w:rFonts w:ascii="Arial" w:hAnsi="Arial"/>
          <w:color w:val="595959"/>
          <w:sz w:val="20"/>
          <w:szCs w:val="20"/>
        </w:rPr>
        <w:t xml:space="preserve"> has been completed and used for the </w:t>
      </w:r>
      <w:r w:rsidR="008B41C6">
        <w:rPr>
          <w:rFonts w:ascii="Arial" w:hAnsi="Arial"/>
          <w:color w:val="595959"/>
          <w:sz w:val="20"/>
          <w:szCs w:val="20"/>
        </w:rPr>
        <w:t>annual economic survey</w:t>
      </w:r>
      <w:r w:rsidRPr="00B2550C">
        <w:rPr>
          <w:rFonts w:ascii="Arial" w:hAnsi="Arial"/>
          <w:color w:val="595959"/>
          <w:sz w:val="20"/>
          <w:szCs w:val="20"/>
        </w:rPr>
        <w:t xml:space="preserve"> 2009. </w:t>
      </w:r>
      <w:r w:rsidR="004F30C2" w:rsidRPr="00FF482D">
        <w:rPr>
          <w:rFonts w:ascii="Arial" w:hAnsi="Arial"/>
          <w:color w:val="595959"/>
          <w:sz w:val="20"/>
          <w:szCs w:val="20"/>
        </w:rPr>
        <w:t xml:space="preserve">The register is updated on a quarterly basis with administrative information collected from Abu Dhabi Government </w:t>
      </w:r>
      <w:r w:rsidR="004F30C2" w:rsidRPr="004E331E">
        <w:rPr>
          <w:rFonts w:ascii="Arial" w:hAnsi="Arial"/>
          <w:color w:val="595959"/>
          <w:sz w:val="20"/>
          <w:szCs w:val="20"/>
        </w:rPr>
        <w:t xml:space="preserve">entities. </w:t>
      </w:r>
      <w:r w:rsidRPr="004E331E">
        <w:rPr>
          <w:rFonts w:ascii="Arial" w:hAnsi="Arial"/>
          <w:color w:val="595959"/>
          <w:sz w:val="20"/>
          <w:szCs w:val="20"/>
        </w:rPr>
        <w:t xml:space="preserve">The QES is a purposive sample, which includes key establishments in each activity from the </w:t>
      </w:r>
      <w:r w:rsidR="005F5195">
        <w:rPr>
          <w:rFonts w:ascii="Arial" w:hAnsi="Arial"/>
          <w:color w:val="595959"/>
          <w:sz w:val="20"/>
          <w:szCs w:val="20"/>
        </w:rPr>
        <w:t>2017</w:t>
      </w:r>
      <w:r w:rsidR="00720855" w:rsidRPr="004E331E">
        <w:rPr>
          <w:rFonts w:ascii="Arial" w:hAnsi="Arial"/>
          <w:color w:val="595959"/>
          <w:sz w:val="20"/>
          <w:szCs w:val="20"/>
        </w:rPr>
        <w:t xml:space="preserve"> </w:t>
      </w:r>
      <w:r w:rsidRPr="004E331E">
        <w:rPr>
          <w:rFonts w:ascii="Arial" w:hAnsi="Arial"/>
          <w:color w:val="595959"/>
          <w:sz w:val="20"/>
          <w:szCs w:val="20"/>
        </w:rPr>
        <w:t>Annual</w:t>
      </w:r>
      <w:r w:rsidRPr="00B2550C">
        <w:rPr>
          <w:rFonts w:ascii="Arial" w:hAnsi="Arial"/>
          <w:color w:val="595959"/>
          <w:sz w:val="20"/>
          <w:szCs w:val="20"/>
        </w:rPr>
        <w:t xml:space="preserve"> Economic Survey.    </w:t>
      </w:r>
    </w:p>
    <w:p w14:paraId="230E4FEF" w14:textId="77777777" w:rsidR="00117AE3" w:rsidRPr="00B2550C" w:rsidRDefault="00117AE3" w:rsidP="00117AE3">
      <w:pPr>
        <w:autoSpaceDE w:val="0"/>
        <w:autoSpaceDN w:val="0"/>
        <w:adjustRightInd w:val="0"/>
        <w:spacing w:after="0" w:line="240" w:lineRule="auto"/>
        <w:jc w:val="both"/>
        <w:rPr>
          <w:rFonts w:ascii="Arial" w:hAnsi="Arial"/>
          <w:b/>
          <w:bCs/>
          <w:color w:val="595959"/>
          <w:sz w:val="20"/>
          <w:szCs w:val="20"/>
        </w:rPr>
      </w:pPr>
    </w:p>
    <w:p w14:paraId="771D3C64" w14:textId="77777777" w:rsidR="00117AE3" w:rsidRPr="00B2550C" w:rsidRDefault="00117AE3" w:rsidP="00117AE3">
      <w:pPr>
        <w:autoSpaceDE w:val="0"/>
        <w:autoSpaceDN w:val="0"/>
        <w:adjustRightInd w:val="0"/>
        <w:spacing w:after="0" w:line="360" w:lineRule="auto"/>
        <w:jc w:val="both"/>
        <w:rPr>
          <w:rFonts w:ascii="Arial" w:hAnsi="Arial"/>
          <w:b/>
          <w:bCs/>
          <w:color w:val="595959"/>
          <w:sz w:val="20"/>
          <w:szCs w:val="20"/>
        </w:rPr>
      </w:pPr>
      <w:r w:rsidRPr="00B2550C">
        <w:rPr>
          <w:rFonts w:ascii="Arial" w:hAnsi="Arial"/>
          <w:b/>
          <w:bCs/>
          <w:color w:val="595959"/>
          <w:sz w:val="20"/>
          <w:szCs w:val="20"/>
        </w:rPr>
        <w:t>Revisions policy</w:t>
      </w:r>
    </w:p>
    <w:p w14:paraId="14188873" w14:textId="77777777" w:rsidR="00DE5094" w:rsidRPr="00182D08" w:rsidRDefault="00DE5094" w:rsidP="00DE5094">
      <w:pPr>
        <w:autoSpaceDE w:val="0"/>
        <w:autoSpaceDN w:val="0"/>
        <w:adjustRightInd w:val="0"/>
        <w:spacing w:after="0" w:line="360" w:lineRule="auto"/>
        <w:jc w:val="both"/>
        <w:rPr>
          <w:rFonts w:ascii="Arial" w:hAnsi="Arial"/>
          <w:color w:val="595959"/>
          <w:sz w:val="20"/>
          <w:szCs w:val="20"/>
        </w:rPr>
      </w:pPr>
      <w:r w:rsidRPr="00182D08">
        <w:rPr>
          <w:rFonts w:ascii="Arial" w:hAnsi="Arial"/>
          <w:color w:val="595959"/>
          <w:sz w:val="20"/>
          <w:szCs w:val="20"/>
        </w:rPr>
        <w:t xml:space="preserve">Normal international practice in producing and continuously improving the quality of official statistics is to make revisions over time, as significant new evidence becomes available to official statistical agencies. </w:t>
      </w:r>
    </w:p>
    <w:p w14:paraId="0C3769EA" w14:textId="77777777" w:rsidR="00DE5094" w:rsidRPr="00182D08" w:rsidRDefault="00DE5094" w:rsidP="00DE5094">
      <w:pPr>
        <w:autoSpaceDE w:val="0"/>
        <w:autoSpaceDN w:val="0"/>
        <w:adjustRightInd w:val="0"/>
        <w:spacing w:after="0" w:line="360" w:lineRule="auto"/>
        <w:jc w:val="both"/>
        <w:rPr>
          <w:rFonts w:ascii="Arial" w:hAnsi="Arial"/>
          <w:color w:val="595959"/>
          <w:sz w:val="20"/>
          <w:szCs w:val="20"/>
        </w:rPr>
      </w:pPr>
    </w:p>
    <w:p w14:paraId="44E6EA15" w14:textId="446422E1" w:rsidR="00DE5094" w:rsidRPr="00182D08" w:rsidRDefault="00DE5094" w:rsidP="00DE5094">
      <w:pPr>
        <w:autoSpaceDE w:val="0"/>
        <w:autoSpaceDN w:val="0"/>
        <w:adjustRightInd w:val="0"/>
        <w:spacing w:after="0" w:line="360" w:lineRule="auto"/>
        <w:jc w:val="both"/>
        <w:rPr>
          <w:rFonts w:ascii="Arial" w:hAnsi="Arial"/>
          <w:color w:val="595959"/>
          <w:sz w:val="20"/>
          <w:szCs w:val="20"/>
        </w:rPr>
      </w:pPr>
      <w:r w:rsidRPr="00182D08">
        <w:rPr>
          <w:rFonts w:ascii="Arial" w:hAnsi="Arial"/>
          <w:color w:val="595959"/>
          <w:sz w:val="20"/>
          <w:szCs w:val="20"/>
        </w:rPr>
        <w:t xml:space="preserve">Quarterly estimates of GDP are released on the following schedule: “Preliminary” estimates, based on source data that are incomplete or subject to further revision by the source agency, are released near the end of the </w:t>
      </w:r>
      <w:r w:rsidR="00A71A48">
        <w:rPr>
          <w:rFonts w:ascii="Arial" w:hAnsi="Arial"/>
          <w:color w:val="595959"/>
          <w:sz w:val="20"/>
          <w:szCs w:val="20"/>
        </w:rPr>
        <w:t>first</w:t>
      </w:r>
      <w:r w:rsidRPr="00182D08">
        <w:rPr>
          <w:rFonts w:ascii="Arial" w:hAnsi="Arial"/>
          <w:color w:val="595959"/>
          <w:sz w:val="20"/>
          <w:szCs w:val="20"/>
        </w:rPr>
        <w:t xml:space="preserve"> month after the end of each quarter. No further updates are incorporated into the quarterly GDP until the benchmarking against the annual GDP (preliminary and final). </w:t>
      </w:r>
    </w:p>
    <w:p w14:paraId="69AF0AAF" w14:textId="77777777" w:rsidR="00DE5094" w:rsidRPr="005B3296" w:rsidRDefault="00DE5094" w:rsidP="00DE5094">
      <w:pPr>
        <w:autoSpaceDE w:val="0"/>
        <w:autoSpaceDN w:val="0"/>
        <w:adjustRightInd w:val="0"/>
        <w:spacing w:after="0" w:line="360" w:lineRule="auto"/>
        <w:jc w:val="both"/>
        <w:rPr>
          <w:rFonts w:ascii="Arial" w:hAnsi="Arial"/>
          <w:color w:val="595959"/>
          <w:sz w:val="20"/>
          <w:szCs w:val="20"/>
        </w:rPr>
      </w:pPr>
    </w:p>
    <w:p w14:paraId="7B39BA5B" w14:textId="77777777" w:rsidR="00DE5094" w:rsidRPr="00274B09" w:rsidRDefault="00DE5094" w:rsidP="00DE5094">
      <w:pPr>
        <w:autoSpaceDE w:val="0"/>
        <w:autoSpaceDN w:val="0"/>
        <w:adjustRightInd w:val="0"/>
        <w:spacing w:after="0" w:line="360" w:lineRule="auto"/>
        <w:jc w:val="both"/>
        <w:rPr>
          <w:rFonts w:ascii="Arial" w:hAnsi="Arial"/>
          <w:color w:val="595959"/>
          <w:sz w:val="20"/>
          <w:szCs w:val="20"/>
        </w:rPr>
      </w:pPr>
      <w:r w:rsidRPr="005B3296">
        <w:rPr>
          <w:rFonts w:ascii="Arial" w:hAnsi="Arial"/>
          <w:color w:val="595959"/>
          <w:sz w:val="20"/>
          <w:szCs w:val="20"/>
        </w:rPr>
        <w:t xml:space="preserve">The quarterly GDP preliminary estimates for the preceding 2 years are updated as part of the benchmarking against the preliminary annual GDP estimate in March of each year. This include revisions as a result of the benchmarking exercise as well as to incorporate significant new data, which may become </w:t>
      </w:r>
      <w:r w:rsidRPr="00FE0890">
        <w:rPr>
          <w:rFonts w:ascii="Arial" w:hAnsi="Arial"/>
          <w:color w:val="595959"/>
          <w:sz w:val="20"/>
          <w:szCs w:val="20"/>
        </w:rPr>
        <w:t xml:space="preserve">available. </w:t>
      </w:r>
      <w:r w:rsidRPr="00274B09">
        <w:rPr>
          <w:rFonts w:ascii="Arial" w:hAnsi="Arial"/>
          <w:color w:val="595959"/>
          <w:sz w:val="20"/>
          <w:szCs w:val="20"/>
        </w:rPr>
        <w:t xml:space="preserve">Quarterly GDP estimates for the preceding 2 calendar years are also revised during December of each year as part of the benchmarking against the final annual GDP. Final annual GDP estimates for the previous calendar year are released towards the end of October as more detailed and more comprehensive data based on primary sources become available. </w:t>
      </w:r>
    </w:p>
    <w:p w14:paraId="70AF2CA4" w14:textId="77777777" w:rsidR="00DE5094" w:rsidRPr="00274B09" w:rsidRDefault="00DE5094" w:rsidP="00DE5094">
      <w:pPr>
        <w:autoSpaceDE w:val="0"/>
        <w:autoSpaceDN w:val="0"/>
        <w:adjustRightInd w:val="0"/>
        <w:spacing w:after="0" w:line="360" w:lineRule="auto"/>
        <w:jc w:val="both"/>
        <w:rPr>
          <w:rFonts w:ascii="Arial" w:hAnsi="Arial"/>
          <w:color w:val="595959"/>
          <w:sz w:val="20"/>
          <w:szCs w:val="20"/>
        </w:rPr>
      </w:pPr>
    </w:p>
    <w:p w14:paraId="0B508BE3" w14:textId="77777777" w:rsidR="00DE5094" w:rsidRPr="007637A5" w:rsidRDefault="00DE5094" w:rsidP="00DE5094">
      <w:pPr>
        <w:autoSpaceDE w:val="0"/>
        <w:autoSpaceDN w:val="0"/>
        <w:adjustRightInd w:val="0"/>
        <w:spacing w:after="0" w:line="360" w:lineRule="auto"/>
        <w:jc w:val="both"/>
        <w:rPr>
          <w:rFonts w:asciiTheme="majorBidi" w:hAnsiTheme="majorBidi" w:cstheme="majorBidi"/>
          <w:b/>
          <w:lang w:bidi="ar-AE"/>
        </w:rPr>
      </w:pPr>
      <w:r w:rsidRPr="00274B09">
        <w:rPr>
          <w:rFonts w:ascii="Arial" w:hAnsi="Arial"/>
          <w:color w:val="595959"/>
          <w:sz w:val="20"/>
          <w:szCs w:val="20"/>
        </w:rPr>
        <w:t>Further revisions to quarterly estimates of GDP are required periodically to align the quarterly estimates with the annual estimates of GDP. These revisions are necessary to incorporate definition and classification changes or to reflect the introduction of new and improved methodologies.</w:t>
      </w:r>
      <w:r w:rsidRPr="007637A5">
        <w:rPr>
          <w:rFonts w:asciiTheme="majorBidi" w:hAnsiTheme="majorBidi" w:cstheme="majorBidi"/>
          <w:lang w:bidi="ar-AE"/>
        </w:rPr>
        <w:t xml:space="preserve"> </w:t>
      </w:r>
    </w:p>
    <w:p w14:paraId="7BBFF20B" w14:textId="77777777" w:rsidR="00117AE3" w:rsidRPr="00B2550C" w:rsidRDefault="00117AE3" w:rsidP="00117AE3">
      <w:pPr>
        <w:autoSpaceDE w:val="0"/>
        <w:autoSpaceDN w:val="0"/>
        <w:adjustRightInd w:val="0"/>
        <w:spacing w:after="0" w:line="360" w:lineRule="auto"/>
        <w:jc w:val="both"/>
        <w:rPr>
          <w:rFonts w:ascii="Arial" w:hAnsi="Arial"/>
          <w:color w:val="595959"/>
          <w:sz w:val="20"/>
          <w:szCs w:val="20"/>
        </w:rPr>
      </w:pPr>
    </w:p>
    <w:p w14:paraId="0DB585A3" w14:textId="77777777" w:rsidR="00117AE3" w:rsidRPr="00B2550C" w:rsidRDefault="00117AE3" w:rsidP="00117AE3">
      <w:pPr>
        <w:autoSpaceDE w:val="0"/>
        <w:autoSpaceDN w:val="0"/>
        <w:adjustRightInd w:val="0"/>
        <w:spacing w:after="0" w:line="360" w:lineRule="auto"/>
        <w:jc w:val="both"/>
        <w:rPr>
          <w:rFonts w:ascii="Arial" w:hAnsi="Arial"/>
          <w:b/>
          <w:bCs/>
          <w:color w:val="595959"/>
          <w:sz w:val="20"/>
          <w:szCs w:val="20"/>
        </w:rPr>
      </w:pPr>
      <w:r w:rsidRPr="00B2550C">
        <w:rPr>
          <w:rFonts w:ascii="Arial" w:hAnsi="Arial"/>
          <w:b/>
          <w:bCs/>
          <w:color w:val="595959"/>
          <w:sz w:val="20"/>
          <w:szCs w:val="20"/>
        </w:rPr>
        <w:t>Seasonal adjustment</w:t>
      </w:r>
    </w:p>
    <w:p w14:paraId="1E9FDCB3" w14:textId="4EEF4C35" w:rsidR="00F61C4D" w:rsidRPr="005F5195" w:rsidRDefault="000069BF" w:rsidP="005F5195">
      <w:pPr>
        <w:autoSpaceDE w:val="0"/>
        <w:autoSpaceDN w:val="0"/>
        <w:adjustRightInd w:val="0"/>
        <w:spacing w:after="0" w:line="360" w:lineRule="auto"/>
        <w:jc w:val="both"/>
        <w:rPr>
          <w:rFonts w:ascii="Arial" w:hAnsi="Arial"/>
          <w:color w:val="595959"/>
          <w:sz w:val="20"/>
          <w:szCs w:val="20"/>
        </w:rPr>
      </w:pPr>
      <w:r w:rsidRPr="00895A12">
        <w:rPr>
          <w:rFonts w:ascii="Arial" w:hAnsi="Arial"/>
          <w:color w:val="595959"/>
          <w:sz w:val="20"/>
          <w:szCs w:val="20"/>
        </w:rPr>
        <w:t xml:space="preserve">Seasonal adjustment of the </w:t>
      </w:r>
      <w:r w:rsidR="00F61C4D" w:rsidRPr="00895A12">
        <w:rPr>
          <w:rFonts w:ascii="Arial" w:hAnsi="Arial"/>
          <w:color w:val="595959"/>
          <w:sz w:val="20"/>
          <w:szCs w:val="20"/>
        </w:rPr>
        <w:t>Gross Domestic Product (GDP)</w:t>
      </w:r>
      <w:r w:rsidRPr="00895A12">
        <w:rPr>
          <w:rFonts w:ascii="Arial" w:hAnsi="Arial"/>
          <w:color w:val="595959"/>
          <w:sz w:val="20"/>
          <w:szCs w:val="20"/>
        </w:rPr>
        <w:t xml:space="preserve"> allows a timely assessment of the</w:t>
      </w:r>
      <w:r w:rsidR="005F5195">
        <w:rPr>
          <w:rFonts w:ascii="Arial" w:hAnsi="Arial"/>
          <w:color w:val="595959"/>
          <w:sz w:val="20"/>
          <w:szCs w:val="20"/>
        </w:rPr>
        <w:t xml:space="preserve"> </w:t>
      </w:r>
      <w:r w:rsidRPr="00895A12">
        <w:rPr>
          <w:rFonts w:ascii="Arial" w:hAnsi="Arial"/>
          <w:color w:val="595959"/>
          <w:sz w:val="20"/>
          <w:szCs w:val="20"/>
        </w:rPr>
        <w:t xml:space="preserve">current economic conditions and identification of turning points in </w:t>
      </w:r>
      <w:r w:rsidR="00F61C4D" w:rsidRPr="00895A12">
        <w:rPr>
          <w:rFonts w:ascii="Arial" w:hAnsi="Arial"/>
          <w:color w:val="595959"/>
          <w:sz w:val="20"/>
          <w:szCs w:val="20"/>
        </w:rPr>
        <w:t>the economy</w:t>
      </w:r>
      <w:r w:rsidRPr="00895A12">
        <w:rPr>
          <w:rFonts w:ascii="Arial" w:hAnsi="Arial"/>
          <w:color w:val="595959"/>
          <w:sz w:val="20"/>
          <w:szCs w:val="20"/>
        </w:rPr>
        <w:t>.</w:t>
      </w:r>
      <w:r w:rsidR="00F61C4D" w:rsidRPr="00895A12">
        <w:rPr>
          <w:rFonts w:ascii="Arial" w:hAnsi="Arial"/>
          <w:color w:val="595959"/>
          <w:sz w:val="20"/>
          <w:szCs w:val="20"/>
        </w:rPr>
        <w:t xml:space="preserve"> </w:t>
      </w:r>
      <w:r w:rsidR="00F61C4D" w:rsidRPr="00895A12">
        <w:rPr>
          <w:rFonts w:ascii="Arial" w:eastAsia="Calibri" w:hAnsi="Arial"/>
          <w:bCs/>
          <w:color w:val="595959"/>
          <w:sz w:val="20"/>
          <w:szCs w:val="20"/>
        </w:rPr>
        <w:t>In this publication, data that are affected by seasonal factors are adjusted to remove the effects of these factors. All estimates are in seasonally adjusted terms.</w:t>
      </w:r>
    </w:p>
    <w:p w14:paraId="68A899DB" w14:textId="77777777" w:rsidR="00116BAF" w:rsidRDefault="00116BAF" w:rsidP="00F61C4D">
      <w:pPr>
        <w:autoSpaceDE w:val="0"/>
        <w:autoSpaceDN w:val="0"/>
        <w:adjustRightInd w:val="0"/>
        <w:spacing w:after="0" w:line="360" w:lineRule="auto"/>
        <w:jc w:val="both"/>
        <w:rPr>
          <w:rFonts w:ascii="Arial" w:eastAsia="Calibri" w:hAnsi="Arial"/>
          <w:bCs/>
          <w:color w:val="595959"/>
          <w:sz w:val="20"/>
          <w:szCs w:val="20"/>
        </w:rPr>
      </w:pPr>
    </w:p>
    <w:p w14:paraId="0398BBB0" w14:textId="67A457A2" w:rsidR="00F56ABD" w:rsidRPr="006739CD" w:rsidRDefault="00256D83" w:rsidP="006739CD">
      <w:pPr>
        <w:autoSpaceDE w:val="0"/>
        <w:autoSpaceDN w:val="0"/>
        <w:adjustRightInd w:val="0"/>
        <w:spacing w:after="0" w:line="360" w:lineRule="auto"/>
        <w:jc w:val="both"/>
        <w:rPr>
          <w:rFonts w:ascii="Arial" w:hAnsi="Arial"/>
          <w:color w:val="595959"/>
          <w:sz w:val="20"/>
          <w:szCs w:val="20"/>
        </w:rPr>
      </w:pPr>
      <w:r w:rsidRPr="006927AF">
        <w:rPr>
          <w:rFonts w:ascii="Arial" w:hAnsi="Arial"/>
          <w:color w:val="595959"/>
          <w:sz w:val="20"/>
          <w:szCs w:val="20"/>
        </w:rPr>
        <w:t>S</w:t>
      </w:r>
      <w:r w:rsidR="00116BAF" w:rsidRPr="006927AF">
        <w:rPr>
          <w:rFonts w:ascii="Arial" w:hAnsi="Arial"/>
          <w:color w:val="595959"/>
          <w:sz w:val="20"/>
          <w:szCs w:val="20"/>
        </w:rPr>
        <w:t xml:space="preserve">easonal </w:t>
      </w:r>
      <w:r w:rsidRPr="006927AF">
        <w:rPr>
          <w:rFonts w:ascii="Arial" w:hAnsi="Arial"/>
          <w:color w:val="595959"/>
          <w:sz w:val="20"/>
          <w:szCs w:val="20"/>
        </w:rPr>
        <w:t xml:space="preserve">factors </w:t>
      </w:r>
      <w:r w:rsidR="00116BAF" w:rsidRPr="006927AF">
        <w:rPr>
          <w:rFonts w:ascii="Arial" w:hAnsi="Arial"/>
          <w:color w:val="595959"/>
          <w:sz w:val="20"/>
          <w:szCs w:val="20"/>
        </w:rPr>
        <w:t xml:space="preserve">consists of </w:t>
      </w:r>
      <w:r w:rsidRPr="006927AF">
        <w:rPr>
          <w:rFonts w:ascii="Arial" w:hAnsi="Arial"/>
          <w:color w:val="595959"/>
          <w:sz w:val="20"/>
          <w:szCs w:val="20"/>
        </w:rPr>
        <w:t xml:space="preserve">events </w:t>
      </w:r>
      <w:r w:rsidR="00116BAF" w:rsidRPr="006927AF">
        <w:rPr>
          <w:rFonts w:ascii="Arial" w:hAnsi="Arial"/>
          <w:color w:val="595959"/>
          <w:sz w:val="20"/>
          <w:szCs w:val="20"/>
        </w:rPr>
        <w:t xml:space="preserve">that are reasonably stable with respect to timing, direction and magnitude. </w:t>
      </w:r>
      <w:r w:rsidRPr="006927AF">
        <w:rPr>
          <w:rFonts w:ascii="Arial" w:hAnsi="Arial"/>
          <w:color w:val="595959"/>
          <w:sz w:val="20"/>
          <w:szCs w:val="20"/>
        </w:rPr>
        <w:t xml:space="preserve">These regular and predictable changes in </w:t>
      </w:r>
      <w:r w:rsidR="00BF649D" w:rsidRPr="006927AF">
        <w:rPr>
          <w:rFonts w:ascii="Arial" w:hAnsi="Arial"/>
          <w:color w:val="595959"/>
          <w:sz w:val="20"/>
          <w:szCs w:val="20"/>
        </w:rPr>
        <w:t>a</w:t>
      </w:r>
      <w:r w:rsidRPr="006927AF">
        <w:rPr>
          <w:rFonts w:ascii="Arial" w:hAnsi="Arial"/>
          <w:color w:val="595959"/>
          <w:sz w:val="20"/>
          <w:szCs w:val="20"/>
        </w:rPr>
        <w:t xml:space="preserve"> time series recur every calendar year</w:t>
      </w:r>
      <w:r w:rsidR="00065BE4" w:rsidRPr="006927AF">
        <w:rPr>
          <w:rFonts w:ascii="Arial" w:hAnsi="Arial"/>
          <w:color w:val="595959"/>
          <w:sz w:val="20"/>
          <w:szCs w:val="20"/>
        </w:rPr>
        <w:t>. F</w:t>
      </w:r>
      <w:r w:rsidRPr="006927AF">
        <w:rPr>
          <w:rFonts w:ascii="Arial" w:hAnsi="Arial"/>
          <w:color w:val="595959"/>
          <w:sz w:val="20"/>
          <w:szCs w:val="20"/>
        </w:rPr>
        <w:t>or example due to n</w:t>
      </w:r>
      <w:r w:rsidR="00116BAF" w:rsidRPr="006927AF">
        <w:rPr>
          <w:rFonts w:ascii="Arial" w:hAnsi="Arial"/>
          <w:color w:val="595959"/>
          <w:sz w:val="20"/>
          <w:szCs w:val="20"/>
        </w:rPr>
        <w:t xml:space="preserve">atural </w:t>
      </w:r>
      <w:r w:rsidRPr="006927AF">
        <w:rPr>
          <w:rFonts w:ascii="Arial" w:hAnsi="Arial"/>
          <w:color w:val="595959"/>
          <w:sz w:val="20"/>
          <w:szCs w:val="20"/>
        </w:rPr>
        <w:t>c</w:t>
      </w:r>
      <w:r w:rsidR="00116BAF" w:rsidRPr="006927AF">
        <w:rPr>
          <w:rFonts w:ascii="Arial" w:hAnsi="Arial"/>
          <w:color w:val="595959"/>
          <w:sz w:val="20"/>
          <w:szCs w:val="20"/>
        </w:rPr>
        <w:t>onditions</w:t>
      </w:r>
      <w:r w:rsidRPr="006927AF">
        <w:rPr>
          <w:rFonts w:ascii="Arial" w:hAnsi="Arial"/>
          <w:color w:val="595959"/>
          <w:sz w:val="20"/>
          <w:szCs w:val="20"/>
        </w:rPr>
        <w:t xml:space="preserve"> such as seasonal changes</w:t>
      </w:r>
      <w:r w:rsidR="00065BE4" w:rsidRPr="006927AF">
        <w:rPr>
          <w:rFonts w:ascii="Arial" w:hAnsi="Arial"/>
          <w:color w:val="595959"/>
          <w:sz w:val="20"/>
          <w:szCs w:val="20"/>
        </w:rPr>
        <w:t xml:space="preserve">, </w:t>
      </w:r>
      <w:r w:rsidR="00BF649D" w:rsidRPr="006927AF">
        <w:rPr>
          <w:rFonts w:ascii="Arial" w:hAnsi="Arial"/>
          <w:color w:val="595959"/>
          <w:sz w:val="20"/>
          <w:szCs w:val="20"/>
        </w:rPr>
        <w:t>h</w:t>
      </w:r>
      <w:r w:rsidRPr="006927AF">
        <w:rPr>
          <w:rFonts w:ascii="Arial" w:hAnsi="Arial"/>
          <w:color w:val="595959"/>
          <w:sz w:val="20"/>
          <w:szCs w:val="20"/>
        </w:rPr>
        <w:t xml:space="preserve">igh temperatures during summer </w:t>
      </w:r>
      <w:r w:rsidR="00BF649D" w:rsidRPr="006927AF">
        <w:rPr>
          <w:rFonts w:ascii="Arial" w:hAnsi="Arial"/>
          <w:color w:val="595959"/>
          <w:sz w:val="20"/>
          <w:szCs w:val="20"/>
        </w:rPr>
        <w:t xml:space="preserve">cause an increase in the </w:t>
      </w:r>
      <w:r w:rsidRPr="006927AF">
        <w:rPr>
          <w:rFonts w:ascii="Arial" w:hAnsi="Arial"/>
          <w:color w:val="595959"/>
          <w:sz w:val="20"/>
          <w:szCs w:val="20"/>
        </w:rPr>
        <w:t>use of chilled air which in turn result in higher electricity consumption and production compared with the cooler months of the year.</w:t>
      </w:r>
      <w:r w:rsidR="00BF649D" w:rsidRPr="006927AF">
        <w:rPr>
          <w:rFonts w:ascii="Arial" w:hAnsi="Arial"/>
          <w:color w:val="595959"/>
          <w:sz w:val="20"/>
          <w:szCs w:val="20"/>
        </w:rPr>
        <w:t xml:space="preserve"> </w:t>
      </w:r>
      <w:r w:rsidRPr="006927AF">
        <w:rPr>
          <w:rFonts w:ascii="Arial" w:hAnsi="Arial"/>
          <w:color w:val="595959"/>
          <w:sz w:val="20"/>
          <w:szCs w:val="20"/>
        </w:rPr>
        <w:t xml:space="preserve"> </w:t>
      </w:r>
    </w:p>
    <w:p w14:paraId="3CEE8BCA" w14:textId="77777777" w:rsidR="00117AE3" w:rsidRPr="00EC3F52" w:rsidRDefault="00117AE3" w:rsidP="00117AE3">
      <w:pPr>
        <w:autoSpaceDE w:val="0"/>
        <w:autoSpaceDN w:val="0"/>
        <w:adjustRightInd w:val="0"/>
        <w:spacing w:after="0" w:line="360" w:lineRule="auto"/>
        <w:jc w:val="both"/>
        <w:rPr>
          <w:rFonts w:ascii="Arial" w:hAnsi="Arial"/>
          <w:b/>
          <w:bCs/>
          <w:color w:val="595959"/>
          <w:sz w:val="20"/>
          <w:szCs w:val="20"/>
        </w:rPr>
      </w:pPr>
      <w:r w:rsidRPr="00EC3F52">
        <w:rPr>
          <w:rFonts w:ascii="Arial" w:hAnsi="Arial"/>
          <w:b/>
          <w:bCs/>
          <w:color w:val="595959"/>
          <w:sz w:val="20"/>
          <w:szCs w:val="20"/>
        </w:rPr>
        <w:lastRenderedPageBreak/>
        <w:t>Future publications</w:t>
      </w:r>
    </w:p>
    <w:p w14:paraId="26758ECA" w14:textId="77777777" w:rsidR="00117AE3" w:rsidRPr="00B2550C" w:rsidRDefault="00117AE3" w:rsidP="004F30C2">
      <w:pPr>
        <w:autoSpaceDE w:val="0"/>
        <w:autoSpaceDN w:val="0"/>
        <w:adjustRightInd w:val="0"/>
        <w:spacing w:after="0" w:line="360" w:lineRule="auto"/>
        <w:jc w:val="both"/>
        <w:rPr>
          <w:rFonts w:ascii="Arial" w:hAnsi="Arial"/>
          <w:color w:val="595959"/>
          <w:sz w:val="20"/>
          <w:szCs w:val="20"/>
        </w:rPr>
      </w:pPr>
      <w:r w:rsidRPr="00EC3F52">
        <w:rPr>
          <w:rFonts w:ascii="Arial" w:hAnsi="Arial"/>
          <w:color w:val="595959"/>
          <w:sz w:val="20"/>
          <w:szCs w:val="20"/>
        </w:rPr>
        <w:t xml:space="preserve">Quarterly GDP data for the Emirate of Abu Dhabi will be released within </w:t>
      </w:r>
      <w:r w:rsidR="004F30C2" w:rsidRPr="00FF482D">
        <w:rPr>
          <w:rFonts w:ascii="Arial" w:hAnsi="Arial"/>
          <w:color w:val="595959"/>
          <w:sz w:val="20"/>
          <w:szCs w:val="20"/>
        </w:rPr>
        <w:t>three</w:t>
      </w:r>
      <w:r w:rsidRPr="00EC3F52">
        <w:rPr>
          <w:rFonts w:ascii="Arial" w:hAnsi="Arial"/>
          <w:color w:val="595959"/>
          <w:sz w:val="20"/>
          <w:szCs w:val="20"/>
        </w:rPr>
        <w:t xml:space="preserve"> months after the end of the reference period.</w:t>
      </w:r>
      <w:r w:rsidRPr="00B2550C">
        <w:rPr>
          <w:rFonts w:ascii="Arial" w:hAnsi="Arial"/>
          <w:color w:val="595959"/>
          <w:sz w:val="20"/>
          <w:szCs w:val="20"/>
        </w:rPr>
        <w:t xml:space="preserve"> </w:t>
      </w:r>
    </w:p>
    <w:p w14:paraId="2C134421" w14:textId="77777777" w:rsidR="00DE5094" w:rsidRDefault="00DE5094" w:rsidP="0089209C">
      <w:pPr>
        <w:pStyle w:val="EcoHeading1"/>
        <w:rPr>
          <w:rFonts w:eastAsia="Calibri"/>
        </w:rPr>
      </w:pPr>
    </w:p>
    <w:p w14:paraId="60829A36" w14:textId="134AC256" w:rsidR="00117AE3" w:rsidRPr="00B2550C" w:rsidRDefault="00117AE3" w:rsidP="005F5195">
      <w:pPr>
        <w:pStyle w:val="EcoHeading1"/>
        <w:ind w:firstLine="810"/>
      </w:pPr>
      <w:r w:rsidRPr="00B2550C">
        <w:rPr>
          <w:rFonts w:eastAsia="Calibri"/>
        </w:rPr>
        <w:t xml:space="preserve">Glossary of </w:t>
      </w:r>
      <w:r w:rsidR="005F5195">
        <w:rPr>
          <w:rFonts w:eastAsia="Calibri"/>
        </w:rPr>
        <w:t>T</w:t>
      </w:r>
      <w:r w:rsidRPr="00B2550C">
        <w:rPr>
          <w:rFonts w:eastAsia="Calibri"/>
        </w:rPr>
        <w:t xml:space="preserve">erms and </w:t>
      </w:r>
      <w:r w:rsidR="005F5195">
        <w:rPr>
          <w:rFonts w:eastAsia="Calibri"/>
        </w:rPr>
        <w:t>A</w:t>
      </w:r>
      <w:r w:rsidRPr="00B2550C">
        <w:rPr>
          <w:rFonts w:eastAsia="Calibri"/>
        </w:rPr>
        <w:t>cronyms</w:t>
      </w:r>
    </w:p>
    <w:p w14:paraId="0D62E94E" w14:textId="77777777" w:rsidR="00117AE3" w:rsidRDefault="00117AE3" w:rsidP="00117AE3">
      <w:pPr>
        <w:autoSpaceDE w:val="0"/>
        <w:autoSpaceDN w:val="0"/>
        <w:adjustRightInd w:val="0"/>
        <w:spacing w:after="0" w:line="360" w:lineRule="auto"/>
        <w:jc w:val="both"/>
        <w:rPr>
          <w:rFonts w:ascii="Arial" w:hAnsi="Arial"/>
          <w:b/>
          <w:bCs/>
          <w:color w:val="595959"/>
          <w:sz w:val="20"/>
          <w:szCs w:val="20"/>
        </w:rPr>
      </w:pPr>
    </w:p>
    <w:p w14:paraId="56B50D46" w14:textId="5DCB1CAF" w:rsidR="00064313" w:rsidRPr="00B74E1F" w:rsidRDefault="00E947C4" w:rsidP="00E947C4">
      <w:pPr>
        <w:autoSpaceDE w:val="0"/>
        <w:autoSpaceDN w:val="0"/>
        <w:adjustRightInd w:val="0"/>
        <w:spacing w:after="0" w:line="360" w:lineRule="auto"/>
        <w:jc w:val="both"/>
        <w:rPr>
          <w:rFonts w:ascii="Arial" w:hAnsi="Arial"/>
          <w:color w:val="595959"/>
          <w:sz w:val="20"/>
          <w:szCs w:val="20"/>
        </w:rPr>
      </w:pPr>
      <w:r>
        <w:rPr>
          <w:rFonts w:ascii="Arial" w:hAnsi="Arial"/>
          <w:b/>
          <w:bCs/>
          <w:color w:val="595959"/>
          <w:sz w:val="20"/>
          <w:szCs w:val="20"/>
        </w:rPr>
        <w:t>H</w:t>
      </w:r>
      <w:r w:rsidR="00064313" w:rsidRPr="00064313">
        <w:rPr>
          <w:rFonts w:ascii="Arial" w:hAnsi="Arial"/>
          <w:b/>
          <w:bCs/>
          <w:color w:val="595959"/>
          <w:sz w:val="20"/>
          <w:szCs w:val="20"/>
        </w:rPr>
        <w:t>ousehold</w:t>
      </w:r>
      <w:r>
        <w:rPr>
          <w:rFonts w:ascii="Arial" w:hAnsi="Arial"/>
          <w:b/>
          <w:bCs/>
          <w:color w:val="595959"/>
          <w:sz w:val="20"/>
          <w:szCs w:val="20"/>
        </w:rPr>
        <w:t xml:space="preserve"> sector</w:t>
      </w:r>
      <w:r w:rsidR="00064313" w:rsidRPr="00064313">
        <w:rPr>
          <w:rFonts w:ascii="Arial" w:hAnsi="Arial"/>
          <w:b/>
          <w:bCs/>
          <w:color w:val="595959"/>
          <w:sz w:val="20"/>
          <w:szCs w:val="20"/>
        </w:rPr>
        <w:t xml:space="preserve">: </w:t>
      </w:r>
      <w:r w:rsidR="00064313" w:rsidRPr="00B74E1F">
        <w:rPr>
          <w:rFonts w:ascii="Arial" w:hAnsi="Arial"/>
          <w:color w:val="595959"/>
          <w:sz w:val="20"/>
          <w:szCs w:val="20"/>
        </w:rPr>
        <w:t>Includes the activities of households as employers of domestic personnel such as house cleaners, cooks, waiters, valets, gardeners, gatekeepers, chauffeurs, caretakers, babysitters etc.</w:t>
      </w:r>
    </w:p>
    <w:p w14:paraId="5E8632D8" w14:textId="77777777" w:rsidR="00064313" w:rsidRDefault="00064313" w:rsidP="00117AE3">
      <w:pPr>
        <w:autoSpaceDE w:val="0"/>
        <w:autoSpaceDN w:val="0"/>
        <w:adjustRightInd w:val="0"/>
        <w:spacing w:after="0" w:line="360" w:lineRule="auto"/>
        <w:jc w:val="both"/>
        <w:rPr>
          <w:rFonts w:ascii="Arial" w:hAnsi="Arial"/>
          <w:b/>
          <w:bCs/>
          <w:color w:val="595959"/>
          <w:sz w:val="20"/>
          <w:szCs w:val="20"/>
        </w:rPr>
      </w:pPr>
    </w:p>
    <w:p w14:paraId="269D0717" w14:textId="7ACB2638" w:rsidR="00117AE3" w:rsidRPr="00B2550C" w:rsidRDefault="00117AE3" w:rsidP="00117AE3">
      <w:pPr>
        <w:autoSpaceDE w:val="0"/>
        <w:autoSpaceDN w:val="0"/>
        <w:adjustRightInd w:val="0"/>
        <w:spacing w:after="0" w:line="360" w:lineRule="auto"/>
        <w:jc w:val="both"/>
        <w:rPr>
          <w:rFonts w:ascii="Arial" w:hAnsi="Arial"/>
          <w:color w:val="595959"/>
          <w:sz w:val="20"/>
          <w:szCs w:val="20"/>
        </w:rPr>
      </w:pPr>
      <w:r w:rsidRPr="00B2550C">
        <w:rPr>
          <w:rFonts w:ascii="Arial" w:hAnsi="Arial"/>
          <w:b/>
          <w:bCs/>
          <w:color w:val="595959"/>
          <w:sz w:val="20"/>
          <w:szCs w:val="20"/>
        </w:rPr>
        <w:t>AED:</w:t>
      </w:r>
      <w:r w:rsidRPr="00B2550C">
        <w:rPr>
          <w:rFonts w:ascii="Arial" w:hAnsi="Arial"/>
          <w:color w:val="595959"/>
          <w:sz w:val="20"/>
          <w:szCs w:val="20"/>
        </w:rPr>
        <w:t xml:space="preserve"> Arab Emirates Dirham</w:t>
      </w:r>
    </w:p>
    <w:p w14:paraId="60FC662A" w14:textId="5E064CC8" w:rsidR="00064313" w:rsidRPr="00B74E1F" w:rsidRDefault="00064313" w:rsidP="00257A96">
      <w:pPr>
        <w:pStyle w:val="NormalWeb"/>
        <w:spacing w:after="0" w:line="360" w:lineRule="auto"/>
        <w:textAlignment w:val="baseline"/>
        <w:rPr>
          <w:rFonts w:ascii="Arial" w:hAnsi="Arial" w:cs="Arial"/>
          <w:color w:val="595959"/>
          <w:sz w:val="20"/>
          <w:szCs w:val="20"/>
        </w:rPr>
      </w:pPr>
      <w:r w:rsidRPr="00064313">
        <w:rPr>
          <w:rFonts w:ascii="Arial" w:hAnsi="Arial" w:cs="Arial"/>
          <w:b/>
          <w:bCs/>
          <w:color w:val="595959"/>
          <w:sz w:val="20"/>
          <w:szCs w:val="20"/>
        </w:rPr>
        <w:t xml:space="preserve">Constant prices: </w:t>
      </w:r>
      <w:r w:rsidRPr="00B74E1F">
        <w:rPr>
          <w:rFonts w:ascii="Arial" w:hAnsi="Arial"/>
          <w:color w:val="595959"/>
          <w:sz w:val="20"/>
          <w:szCs w:val="20"/>
        </w:rPr>
        <w:t>This refers to the series, which have been obtained by removing the effect of price changes over time from the values of flows or stocks of goods and services.</w:t>
      </w:r>
    </w:p>
    <w:p w14:paraId="33C85343" w14:textId="5297D0BF" w:rsidR="00064313" w:rsidRDefault="00064313">
      <w:pPr>
        <w:pStyle w:val="NormalWeb"/>
        <w:spacing w:before="0" w:beforeAutospacing="0" w:after="0" w:afterAutospacing="0" w:line="360" w:lineRule="auto"/>
        <w:jc w:val="both"/>
        <w:textAlignment w:val="baseline"/>
        <w:rPr>
          <w:rFonts w:ascii="Arial" w:hAnsi="Arial" w:cs="Arial"/>
          <w:color w:val="595959"/>
          <w:sz w:val="20"/>
          <w:szCs w:val="20"/>
        </w:rPr>
      </w:pPr>
      <w:r w:rsidRPr="00257A96">
        <w:rPr>
          <w:rFonts w:ascii="Arial" w:hAnsi="Arial" w:cs="Arial"/>
          <w:b/>
          <w:bCs/>
          <w:color w:val="595959"/>
          <w:sz w:val="20"/>
          <w:szCs w:val="20"/>
        </w:rPr>
        <w:t>Current prices:</w:t>
      </w:r>
      <w:r w:rsidRPr="00B74E1F">
        <w:rPr>
          <w:rFonts w:ascii="Arial" w:hAnsi="Arial" w:cs="Arial"/>
          <w:color w:val="595959"/>
          <w:sz w:val="20"/>
          <w:szCs w:val="20"/>
        </w:rPr>
        <w:t xml:space="preserve"> This refers to the series being valued at the prices current at the time the activity takes place.</w:t>
      </w:r>
    </w:p>
    <w:p w14:paraId="25300C73" w14:textId="77777777" w:rsidR="00064313" w:rsidRPr="00B74E1F" w:rsidRDefault="00064313">
      <w:pPr>
        <w:pStyle w:val="NormalWeb"/>
        <w:spacing w:before="0" w:beforeAutospacing="0" w:after="0" w:afterAutospacing="0" w:line="360" w:lineRule="auto"/>
        <w:jc w:val="both"/>
        <w:textAlignment w:val="baseline"/>
        <w:rPr>
          <w:rFonts w:ascii="Arial" w:hAnsi="Arial" w:cs="Arial"/>
          <w:color w:val="595959"/>
          <w:sz w:val="20"/>
          <w:szCs w:val="20"/>
        </w:rPr>
      </w:pPr>
    </w:p>
    <w:p w14:paraId="613F0945" w14:textId="19D831BF" w:rsidR="00064313" w:rsidRPr="00B74E1F" w:rsidRDefault="00064313" w:rsidP="00E947C4">
      <w:pPr>
        <w:pStyle w:val="NormalWeb"/>
        <w:spacing w:before="0" w:beforeAutospacing="0" w:after="0" w:afterAutospacing="0" w:line="360" w:lineRule="auto"/>
        <w:jc w:val="both"/>
        <w:textAlignment w:val="baseline"/>
        <w:rPr>
          <w:rFonts w:ascii="Arial" w:hAnsi="Arial" w:cs="Arial"/>
          <w:color w:val="595959"/>
          <w:sz w:val="20"/>
          <w:szCs w:val="20"/>
        </w:rPr>
      </w:pPr>
      <w:r w:rsidRPr="00064313">
        <w:rPr>
          <w:rFonts w:ascii="Arial" w:hAnsi="Arial" w:cs="Arial"/>
          <w:b/>
          <w:bCs/>
          <w:color w:val="595959"/>
          <w:sz w:val="20"/>
          <w:szCs w:val="20"/>
        </w:rPr>
        <w:t xml:space="preserve">Financial </w:t>
      </w:r>
      <w:r w:rsidR="00E947C4">
        <w:rPr>
          <w:rFonts w:ascii="Arial" w:hAnsi="Arial" w:cs="Arial"/>
          <w:b/>
          <w:bCs/>
          <w:color w:val="595959"/>
          <w:sz w:val="20"/>
          <w:szCs w:val="20"/>
        </w:rPr>
        <w:t>companies</w:t>
      </w:r>
      <w:r w:rsidRPr="00064313">
        <w:rPr>
          <w:rFonts w:ascii="Arial" w:hAnsi="Arial" w:cs="Arial"/>
          <w:b/>
          <w:bCs/>
          <w:color w:val="595959"/>
          <w:sz w:val="20"/>
          <w:szCs w:val="20"/>
        </w:rPr>
        <w:t xml:space="preserve"> sector: </w:t>
      </w:r>
      <w:r w:rsidRPr="00B74E1F">
        <w:rPr>
          <w:rFonts w:ascii="Arial" w:hAnsi="Arial" w:cs="Arial"/>
          <w:color w:val="595959"/>
          <w:sz w:val="20"/>
          <w:szCs w:val="20"/>
        </w:rPr>
        <w:t>Includes all establishments whose principal activity is financial intermediation or insurance related.</w:t>
      </w:r>
    </w:p>
    <w:p w14:paraId="272F0689" w14:textId="77777777" w:rsidR="00064313" w:rsidRPr="00B2550C" w:rsidRDefault="00064313" w:rsidP="00064313">
      <w:pPr>
        <w:pStyle w:val="NormalWeb"/>
        <w:spacing w:before="0" w:beforeAutospacing="0" w:after="0" w:afterAutospacing="0" w:line="360" w:lineRule="auto"/>
        <w:jc w:val="both"/>
        <w:textAlignment w:val="baseline"/>
        <w:rPr>
          <w:rFonts w:ascii="Arial" w:hAnsi="Arial" w:cs="Arial"/>
          <w:b/>
          <w:bCs/>
          <w:color w:val="595959"/>
          <w:sz w:val="20"/>
          <w:szCs w:val="20"/>
        </w:rPr>
      </w:pPr>
    </w:p>
    <w:p w14:paraId="517E84B3" w14:textId="77777777" w:rsidR="00117AE3" w:rsidRPr="00B2550C" w:rsidRDefault="00117AE3" w:rsidP="00117AE3">
      <w:pPr>
        <w:pStyle w:val="NormalWeb"/>
        <w:spacing w:before="0" w:beforeAutospacing="0" w:after="0" w:afterAutospacing="0" w:line="360" w:lineRule="auto"/>
        <w:jc w:val="both"/>
        <w:textAlignment w:val="baseline"/>
        <w:rPr>
          <w:rFonts w:ascii="Arial" w:hAnsi="Arial" w:cs="Arial"/>
          <w:color w:val="595959"/>
          <w:sz w:val="20"/>
          <w:szCs w:val="20"/>
        </w:rPr>
      </w:pPr>
      <w:r w:rsidRPr="00B2550C">
        <w:rPr>
          <w:rFonts w:ascii="Arial" w:hAnsi="Arial" w:cs="Arial"/>
          <w:b/>
          <w:bCs/>
          <w:color w:val="595959"/>
          <w:sz w:val="20"/>
          <w:szCs w:val="20"/>
        </w:rPr>
        <w:t>Gross</w:t>
      </w:r>
      <w:r w:rsidRPr="00B2550C">
        <w:rPr>
          <w:rFonts w:ascii="Arial" w:eastAsia="Calibri" w:hAnsi="Arial" w:cs="Arial"/>
          <w:b/>
          <w:color w:val="595959"/>
          <w:sz w:val="20"/>
          <w:szCs w:val="20"/>
        </w:rPr>
        <w:t xml:space="preserve"> Domestic Product (GDP): </w:t>
      </w:r>
      <w:r w:rsidRPr="00B2550C">
        <w:rPr>
          <w:rFonts w:ascii="Arial" w:eastAsia="Calibri" w:hAnsi="Arial" w:cs="Arial"/>
          <w:bCs/>
          <w:color w:val="595959"/>
          <w:sz w:val="20"/>
          <w:szCs w:val="20"/>
        </w:rPr>
        <w:t xml:space="preserve">This </w:t>
      </w:r>
      <w:r w:rsidRPr="00B2550C">
        <w:rPr>
          <w:rFonts w:ascii="Arial" w:hAnsi="Arial" w:cs="Arial"/>
          <w:bCs/>
          <w:color w:val="595959"/>
          <w:sz w:val="20"/>
          <w:szCs w:val="20"/>
        </w:rPr>
        <w:t>refers</w:t>
      </w:r>
      <w:r w:rsidRPr="00B2550C">
        <w:rPr>
          <w:rFonts w:ascii="Arial" w:hAnsi="Arial" w:cs="Arial"/>
          <w:color w:val="595959"/>
          <w:sz w:val="20"/>
          <w:szCs w:val="20"/>
        </w:rPr>
        <w:t xml:space="preserve"> to the market value of all final goods and services produced within a country in a given period. Alternatively, it can be described as the total value added of Economic activity.</w:t>
      </w:r>
    </w:p>
    <w:p w14:paraId="7DB5B325" w14:textId="77777777" w:rsidR="00117AE3" w:rsidRPr="00B2550C" w:rsidRDefault="00117AE3" w:rsidP="00117AE3">
      <w:pPr>
        <w:autoSpaceDE w:val="0"/>
        <w:autoSpaceDN w:val="0"/>
        <w:adjustRightInd w:val="0"/>
        <w:spacing w:after="0" w:line="360" w:lineRule="auto"/>
        <w:jc w:val="both"/>
        <w:rPr>
          <w:rFonts w:ascii="Arial" w:hAnsi="Arial"/>
          <w:b/>
          <w:bCs/>
          <w:color w:val="595959"/>
          <w:sz w:val="20"/>
          <w:szCs w:val="20"/>
        </w:rPr>
      </w:pPr>
    </w:p>
    <w:p w14:paraId="60983F68" w14:textId="77777777" w:rsidR="00064313" w:rsidRPr="00064313" w:rsidRDefault="00064313" w:rsidP="00064313">
      <w:pPr>
        <w:autoSpaceDE w:val="0"/>
        <w:autoSpaceDN w:val="0"/>
        <w:adjustRightInd w:val="0"/>
        <w:spacing w:after="0" w:line="360" w:lineRule="auto"/>
        <w:rPr>
          <w:rFonts w:ascii="Arial" w:hAnsi="Arial"/>
          <w:b/>
          <w:bCs/>
          <w:color w:val="595959"/>
          <w:sz w:val="20"/>
          <w:szCs w:val="20"/>
        </w:rPr>
      </w:pPr>
    </w:p>
    <w:p w14:paraId="499C174F" w14:textId="729AA4C5" w:rsidR="00064313" w:rsidRPr="00B74E1F" w:rsidRDefault="00064313" w:rsidP="00E947C4">
      <w:pPr>
        <w:autoSpaceDE w:val="0"/>
        <w:autoSpaceDN w:val="0"/>
        <w:adjustRightInd w:val="0"/>
        <w:spacing w:after="0" w:line="360" w:lineRule="auto"/>
        <w:jc w:val="both"/>
        <w:rPr>
          <w:rFonts w:ascii="Arial" w:hAnsi="Arial"/>
          <w:color w:val="595959"/>
          <w:sz w:val="20"/>
          <w:szCs w:val="20"/>
        </w:rPr>
      </w:pPr>
      <w:r w:rsidRPr="00064313">
        <w:rPr>
          <w:rFonts w:ascii="Arial" w:hAnsi="Arial"/>
          <w:b/>
          <w:bCs/>
          <w:color w:val="595959"/>
          <w:sz w:val="20"/>
          <w:szCs w:val="20"/>
        </w:rPr>
        <w:t>Non-</w:t>
      </w:r>
      <w:r w:rsidR="00E947C4">
        <w:rPr>
          <w:rFonts w:ascii="Arial" w:hAnsi="Arial"/>
          <w:b/>
          <w:bCs/>
          <w:color w:val="595959"/>
          <w:sz w:val="20"/>
          <w:szCs w:val="20"/>
        </w:rPr>
        <w:t>f</w:t>
      </w:r>
      <w:r w:rsidRPr="00064313">
        <w:rPr>
          <w:rFonts w:ascii="Arial" w:hAnsi="Arial"/>
          <w:b/>
          <w:bCs/>
          <w:color w:val="595959"/>
          <w:sz w:val="20"/>
          <w:szCs w:val="20"/>
        </w:rPr>
        <w:t xml:space="preserve">inancial </w:t>
      </w:r>
      <w:r w:rsidR="00E947C4">
        <w:rPr>
          <w:rFonts w:ascii="Arial" w:hAnsi="Arial"/>
          <w:b/>
          <w:bCs/>
          <w:color w:val="595959"/>
          <w:sz w:val="20"/>
          <w:szCs w:val="20"/>
        </w:rPr>
        <w:t>s</w:t>
      </w:r>
      <w:r w:rsidRPr="00064313">
        <w:rPr>
          <w:rFonts w:ascii="Arial" w:hAnsi="Arial"/>
          <w:b/>
          <w:bCs/>
          <w:color w:val="595959"/>
          <w:sz w:val="20"/>
          <w:szCs w:val="20"/>
        </w:rPr>
        <w:t xml:space="preserve">ector: </w:t>
      </w:r>
      <w:r w:rsidRPr="00B74E1F">
        <w:rPr>
          <w:rFonts w:ascii="Arial" w:hAnsi="Arial"/>
          <w:color w:val="595959"/>
          <w:sz w:val="20"/>
          <w:szCs w:val="20"/>
        </w:rPr>
        <w:t>The non-financial sector includes establishments whose principal activity is the production of market goods or non-financial services.</w:t>
      </w:r>
    </w:p>
    <w:p w14:paraId="72339C3D" w14:textId="77777777" w:rsidR="00064313" w:rsidRPr="00064313" w:rsidRDefault="00064313" w:rsidP="00064313">
      <w:pPr>
        <w:autoSpaceDE w:val="0"/>
        <w:autoSpaceDN w:val="0"/>
        <w:adjustRightInd w:val="0"/>
        <w:spacing w:after="0" w:line="360" w:lineRule="auto"/>
        <w:rPr>
          <w:rFonts w:ascii="Arial" w:hAnsi="Arial"/>
          <w:b/>
          <w:bCs/>
          <w:color w:val="595959"/>
          <w:sz w:val="20"/>
          <w:szCs w:val="20"/>
        </w:rPr>
      </w:pPr>
    </w:p>
    <w:p w14:paraId="69E2FEEF" w14:textId="725820EA" w:rsidR="00064313" w:rsidRPr="00B74E1F" w:rsidRDefault="00064313" w:rsidP="00257A96">
      <w:pPr>
        <w:autoSpaceDE w:val="0"/>
        <w:autoSpaceDN w:val="0"/>
        <w:adjustRightInd w:val="0"/>
        <w:spacing w:after="0" w:line="360" w:lineRule="auto"/>
        <w:jc w:val="both"/>
        <w:rPr>
          <w:rFonts w:ascii="Arial" w:hAnsi="Arial"/>
          <w:color w:val="595959"/>
          <w:sz w:val="20"/>
          <w:szCs w:val="20"/>
        </w:rPr>
      </w:pPr>
      <w:r w:rsidRPr="00064313">
        <w:rPr>
          <w:rFonts w:ascii="Arial" w:hAnsi="Arial"/>
          <w:b/>
          <w:bCs/>
          <w:color w:val="595959"/>
          <w:sz w:val="20"/>
          <w:szCs w:val="20"/>
        </w:rPr>
        <w:t xml:space="preserve">Non-oil activities: </w:t>
      </w:r>
      <w:r w:rsidRPr="00B74E1F">
        <w:rPr>
          <w:rFonts w:ascii="Arial" w:hAnsi="Arial"/>
          <w:color w:val="595959"/>
          <w:sz w:val="20"/>
          <w:szCs w:val="20"/>
        </w:rPr>
        <w:t>This refer to all activities with the only exception being mining and quarrying (including crude oil and natural gas).</w:t>
      </w:r>
    </w:p>
    <w:p w14:paraId="5DF00FC1" w14:textId="77777777" w:rsidR="00117AE3" w:rsidRPr="00B2550C" w:rsidRDefault="00117AE3" w:rsidP="00117AE3">
      <w:pPr>
        <w:autoSpaceDE w:val="0"/>
        <w:autoSpaceDN w:val="0"/>
        <w:adjustRightInd w:val="0"/>
        <w:spacing w:after="0" w:line="360" w:lineRule="auto"/>
        <w:jc w:val="both"/>
        <w:rPr>
          <w:rFonts w:ascii="Arial" w:eastAsia="Calibri" w:hAnsi="Arial"/>
          <w:bCs/>
          <w:color w:val="595959"/>
          <w:sz w:val="20"/>
          <w:szCs w:val="20"/>
        </w:rPr>
      </w:pPr>
    </w:p>
    <w:p w14:paraId="245FEE23" w14:textId="77777777" w:rsidR="00064313" w:rsidRDefault="00064313" w:rsidP="00117AE3">
      <w:pPr>
        <w:autoSpaceDE w:val="0"/>
        <w:autoSpaceDN w:val="0"/>
        <w:adjustRightInd w:val="0"/>
        <w:spacing w:after="0" w:line="360" w:lineRule="auto"/>
        <w:jc w:val="both"/>
        <w:rPr>
          <w:rFonts w:ascii="Arial" w:eastAsia="Calibri" w:hAnsi="Arial"/>
          <w:b/>
          <w:bCs/>
          <w:color w:val="595959"/>
          <w:sz w:val="20"/>
          <w:szCs w:val="20"/>
        </w:rPr>
      </w:pPr>
      <w:r w:rsidRPr="00064313">
        <w:rPr>
          <w:rFonts w:ascii="Arial" w:eastAsia="Calibri" w:hAnsi="Arial"/>
          <w:b/>
          <w:bCs/>
          <w:color w:val="595959"/>
          <w:sz w:val="20"/>
          <w:szCs w:val="20"/>
        </w:rPr>
        <w:t xml:space="preserve">Oil activities: </w:t>
      </w:r>
      <w:r w:rsidRPr="00B74E1F">
        <w:rPr>
          <w:rFonts w:ascii="Arial" w:eastAsia="Calibri" w:hAnsi="Arial"/>
          <w:color w:val="595959"/>
          <w:sz w:val="20"/>
          <w:szCs w:val="20"/>
        </w:rPr>
        <w:t>This refers to the Mining and quarrying (including crude oil and natural gas) activity only.  This does not include related crude oil and natural gas activities such as refining, petrochemicals, distribution, or transport.</w:t>
      </w:r>
    </w:p>
    <w:p w14:paraId="140D721B" w14:textId="77777777" w:rsidR="00064313" w:rsidRDefault="00064313" w:rsidP="00117AE3">
      <w:pPr>
        <w:autoSpaceDE w:val="0"/>
        <w:autoSpaceDN w:val="0"/>
        <w:adjustRightInd w:val="0"/>
        <w:spacing w:after="0" w:line="360" w:lineRule="auto"/>
        <w:jc w:val="both"/>
        <w:rPr>
          <w:rFonts w:ascii="Arial" w:eastAsia="Calibri" w:hAnsi="Arial"/>
          <w:b/>
          <w:bCs/>
          <w:color w:val="595959"/>
          <w:sz w:val="20"/>
          <w:szCs w:val="20"/>
        </w:rPr>
      </w:pPr>
    </w:p>
    <w:p w14:paraId="3717F28A" w14:textId="77777777" w:rsidR="00064313" w:rsidRPr="00B74E1F" w:rsidRDefault="00064313" w:rsidP="00064313">
      <w:pPr>
        <w:autoSpaceDE w:val="0"/>
        <w:autoSpaceDN w:val="0"/>
        <w:adjustRightInd w:val="0"/>
        <w:spacing w:after="0" w:line="360" w:lineRule="auto"/>
        <w:rPr>
          <w:rFonts w:ascii="Arial" w:eastAsia="Calibri" w:hAnsi="Arial"/>
          <w:color w:val="595959"/>
          <w:sz w:val="20"/>
          <w:szCs w:val="20"/>
        </w:rPr>
      </w:pPr>
      <w:r w:rsidRPr="00064313">
        <w:rPr>
          <w:rFonts w:ascii="Arial" w:eastAsia="Calibri" w:hAnsi="Arial"/>
          <w:b/>
          <w:bCs/>
          <w:color w:val="595959"/>
          <w:sz w:val="20"/>
          <w:szCs w:val="20"/>
        </w:rPr>
        <w:t xml:space="preserve">Percentage change: </w:t>
      </w:r>
      <w:r w:rsidRPr="00B74E1F">
        <w:rPr>
          <w:rFonts w:ascii="Arial" w:eastAsia="Calibri" w:hAnsi="Arial"/>
          <w:color w:val="595959"/>
          <w:sz w:val="20"/>
          <w:szCs w:val="20"/>
        </w:rPr>
        <w:t>Year on year percentage change or percentage change from the previous quarter.</w:t>
      </w:r>
    </w:p>
    <w:p w14:paraId="2CC05E0B" w14:textId="77777777" w:rsidR="00064313" w:rsidRPr="00064313" w:rsidRDefault="00064313" w:rsidP="00064313">
      <w:pPr>
        <w:autoSpaceDE w:val="0"/>
        <w:autoSpaceDN w:val="0"/>
        <w:adjustRightInd w:val="0"/>
        <w:spacing w:after="0" w:line="360" w:lineRule="auto"/>
        <w:rPr>
          <w:rFonts w:ascii="Arial" w:eastAsia="Calibri" w:hAnsi="Arial"/>
          <w:b/>
          <w:bCs/>
          <w:color w:val="595959"/>
          <w:sz w:val="20"/>
          <w:szCs w:val="20"/>
        </w:rPr>
      </w:pPr>
    </w:p>
    <w:p w14:paraId="5DAFD776" w14:textId="77777777" w:rsidR="00064313" w:rsidRDefault="00064313" w:rsidP="00064313">
      <w:pPr>
        <w:autoSpaceDE w:val="0"/>
        <w:autoSpaceDN w:val="0"/>
        <w:adjustRightInd w:val="0"/>
        <w:spacing w:after="0" w:line="360" w:lineRule="auto"/>
        <w:jc w:val="both"/>
        <w:rPr>
          <w:rFonts w:ascii="Arial" w:eastAsia="Calibri" w:hAnsi="Arial"/>
          <w:b/>
          <w:bCs/>
          <w:color w:val="595959"/>
          <w:sz w:val="20"/>
          <w:szCs w:val="20"/>
        </w:rPr>
      </w:pPr>
      <w:r w:rsidRPr="00064313">
        <w:rPr>
          <w:rFonts w:ascii="Arial" w:eastAsia="Calibri" w:hAnsi="Arial"/>
          <w:b/>
          <w:bCs/>
          <w:color w:val="595959"/>
          <w:sz w:val="20"/>
          <w:szCs w:val="20"/>
        </w:rPr>
        <w:t>Percentage contribution:</w:t>
      </w:r>
      <w:r w:rsidRPr="00B74E1F">
        <w:rPr>
          <w:rFonts w:ascii="Arial" w:eastAsia="Calibri" w:hAnsi="Arial"/>
          <w:color w:val="595959"/>
          <w:sz w:val="20"/>
          <w:szCs w:val="20"/>
        </w:rPr>
        <w:t xml:space="preserve"> Relative importance of a sector within the total GDP compared with other sectors.</w:t>
      </w:r>
      <w:r w:rsidRPr="00064313">
        <w:rPr>
          <w:rFonts w:ascii="Arial" w:eastAsia="Calibri" w:hAnsi="Arial"/>
          <w:b/>
          <w:bCs/>
          <w:color w:val="595959"/>
          <w:sz w:val="20"/>
          <w:szCs w:val="20"/>
        </w:rPr>
        <w:t xml:space="preserve"> </w:t>
      </w:r>
    </w:p>
    <w:p w14:paraId="3ADB7790" w14:textId="77777777" w:rsidR="006B5345" w:rsidRDefault="006B5345" w:rsidP="00064313">
      <w:pPr>
        <w:autoSpaceDE w:val="0"/>
        <w:autoSpaceDN w:val="0"/>
        <w:adjustRightInd w:val="0"/>
        <w:spacing w:after="0" w:line="360" w:lineRule="auto"/>
        <w:jc w:val="both"/>
        <w:rPr>
          <w:rFonts w:ascii="Arial" w:eastAsia="Calibri" w:hAnsi="Arial"/>
          <w:b/>
          <w:bCs/>
          <w:color w:val="595959"/>
          <w:sz w:val="20"/>
          <w:szCs w:val="20"/>
        </w:rPr>
      </w:pPr>
    </w:p>
    <w:p w14:paraId="47CFA1B3" w14:textId="541452A6" w:rsidR="00064313" w:rsidRDefault="00064313" w:rsidP="00A52891">
      <w:pPr>
        <w:autoSpaceDE w:val="0"/>
        <w:autoSpaceDN w:val="0"/>
        <w:adjustRightInd w:val="0"/>
        <w:spacing w:after="0" w:line="360" w:lineRule="auto"/>
        <w:jc w:val="both"/>
        <w:rPr>
          <w:rFonts w:ascii="Arial" w:eastAsia="Calibri" w:hAnsi="Arial"/>
          <w:color w:val="595959"/>
          <w:sz w:val="20"/>
          <w:szCs w:val="20"/>
        </w:rPr>
      </w:pPr>
      <w:r w:rsidRPr="00064313">
        <w:rPr>
          <w:rFonts w:ascii="Arial" w:eastAsia="Calibri" w:hAnsi="Arial"/>
          <w:b/>
          <w:bCs/>
          <w:color w:val="595959"/>
          <w:sz w:val="20"/>
          <w:szCs w:val="20"/>
        </w:rPr>
        <w:lastRenderedPageBreak/>
        <w:t xml:space="preserve">Preliminary estimates: </w:t>
      </w:r>
      <w:r w:rsidRPr="00B74E1F">
        <w:rPr>
          <w:rFonts w:ascii="Arial" w:eastAsia="Calibri" w:hAnsi="Arial"/>
          <w:color w:val="595959"/>
          <w:sz w:val="20"/>
          <w:szCs w:val="20"/>
        </w:rPr>
        <w:t xml:space="preserve">Estimates that </w:t>
      </w:r>
      <w:r w:rsidR="00A52891">
        <w:rPr>
          <w:rFonts w:ascii="Arial" w:eastAsia="Calibri" w:hAnsi="Arial"/>
          <w:color w:val="595959"/>
          <w:sz w:val="20"/>
          <w:szCs w:val="20"/>
        </w:rPr>
        <w:t>have been calculated using only secondary</w:t>
      </w:r>
      <w:r w:rsidRPr="00B74E1F">
        <w:rPr>
          <w:rFonts w:ascii="Arial" w:eastAsia="Calibri" w:hAnsi="Arial"/>
          <w:color w:val="595959"/>
          <w:sz w:val="20"/>
          <w:szCs w:val="20"/>
        </w:rPr>
        <w:t xml:space="preserve"> data sourc</w:t>
      </w:r>
      <w:r w:rsidR="00045EE3" w:rsidRPr="00257A96">
        <w:rPr>
          <w:rFonts w:ascii="Arial" w:eastAsia="Calibri" w:hAnsi="Arial"/>
          <w:color w:val="595959"/>
          <w:sz w:val="20"/>
          <w:szCs w:val="20"/>
        </w:rPr>
        <w:t>es and methods. Users of this</w:t>
      </w:r>
      <w:r w:rsidRPr="00B74E1F">
        <w:rPr>
          <w:rFonts w:ascii="Arial" w:eastAsia="Calibri" w:hAnsi="Arial"/>
          <w:color w:val="595959"/>
          <w:sz w:val="20"/>
          <w:szCs w:val="20"/>
        </w:rPr>
        <w:t xml:space="preserve"> data should be aware that preliminary estimates will be revised when primary data sources become available for that time period</w:t>
      </w:r>
      <w:r>
        <w:rPr>
          <w:rFonts w:ascii="Arial" w:eastAsia="Calibri" w:hAnsi="Arial"/>
          <w:color w:val="595959"/>
          <w:sz w:val="20"/>
          <w:szCs w:val="20"/>
        </w:rPr>
        <w:t>.</w:t>
      </w:r>
    </w:p>
    <w:p w14:paraId="2F2FD94B" w14:textId="77777777" w:rsidR="00860562" w:rsidRDefault="00860562" w:rsidP="00064313">
      <w:pPr>
        <w:autoSpaceDE w:val="0"/>
        <w:autoSpaceDN w:val="0"/>
        <w:adjustRightInd w:val="0"/>
        <w:spacing w:after="0" w:line="360" w:lineRule="auto"/>
        <w:jc w:val="both"/>
        <w:rPr>
          <w:rFonts w:ascii="Arial" w:eastAsia="Calibri" w:hAnsi="Arial"/>
          <w:color w:val="595959"/>
          <w:sz w:val="20"/>
          <w:szCs w:val="20"/>
        </w:rPr>
      </w:pPr>
    </w:p>
    <w:p w14:paraId="5DA2F259" w14:textId="0473FE85" w:rsidR="00117AE3" w:rsidRPr="00B2550C" w:rsidRDefault="00117AE3" w:rsidP="00257A96">
      <w:pPr>
        <w:autoSpaceDE w:val="0"/>
        <w:autoSpaceDN w:val="0"/>
        <w:adjustRightInd w:val="0"/>
        <w:spacing w:after="0" w:line="360" w:lineRule="auto"/>
        <w:jc w:val="both"/>
        <w:rPr>
          <w:rFonts w:ascii="Arial" w:eastAsia="Calibri" w:hAnsi="Arial"/>
          <w:color w:val="595959"/>
          <w:sz w:val="20"/>
          <w:szCs w:val="20"/>
        </w:rPr>
      </w:pPr>
      <w:r w:rsidRPr="00B2550C">
        <w:rPr>
          <w:rFonts w:ascii="Arial" w:eastAsia="Calibri" w:hAnsi="Arial"/>
          <w:b/>
          <w:bCs/>
          <w:color w:val="595959"/>
          <w:sz w:val="20"/>
          <w:szCs w:val="20"/>
        </w:rPr>
        <w:t>Production measure of GDP:</w:t>
      </w:r>
      <w:r w:rsidRPr="00B2550C">
        <w:rPr>
          <w:rFonts w:ascii="Arial" w:eastAsia="Calibri" w:hAnsi="Arial"/>
          <w:color w:val="595959"/>
          <w:sz w:val="20"/>
          <w:szCs w:val="20"/>
        </w:rPr>
        <w:t xml:space="preserve"> Production less intermediate consumption.</w:t>
      </w:r>
    </w:p>
    <w:p w14:paraId="2189D2B8" w14:textId="77777777" w:rsidR="00117AE3" w:rsidRPr="00B2550C" w:rsidRDefault="00117AE3">
      <w:pPr>
        <w:autoSpaceDE w:val="0"/>
        <w:autoSpaceDN w:val="0"/>
        <w:adjustRightInd w:val="0"/>
        <w:spacing w:after="0" w:line="360" w:lineRule="auto"/>
        <w:jc w:val="both"/>
        <w:rPr>
          <w:rFonts w:ascii="Arial" w:eastAsia="Calibri" w:hAnsi="Arial"/>
          <w:b/>
          <w:bCs/>
          <w:color w:val="595959"/>
          <w:sz w:val="20"/>
          <w:szCs w:val="20"/>
        </w:rPr>
      </w:pPr>
    </w:p>
    <w:p w14:paraId="218659EB" w14:textId="1B53CE17" w:rsidR="00064313" w:rsidRPr="00B2550C" w:rsidRDefault="00E947C4" w:rsidP="00E947C4">
      <w:pPr>
        <w:autoSpaceDE w:val="0"/>
        <w:autoSpaceDN w:val="0"/>
        <w:adjustRightInd w:val="0"/>
        <w:spacing w:after="0" w:line="360" w:lineRule="auto"/>
        <w:jc w:val="both"/>
        <w:rPr>
          <w:rFonts w:ascii="Arial" w:eastAsia="Calibri" w:hAnsi="Arial"/>
          <w:color w:val="595959"/>
          <w:sz w:val="20"/>
          <w:szCs w:val="20"/>
        </w:rPr>
      </w:pPr>
      <w:r>
        <w:rPr>
          <w:rFonts w:ascii="Arial" w:eastAsia="Calibri" w:hAnsi="Arial"/>
          <w:b/>
          <w:bCs/>
          <w:color w:val="595959"/>
          <w:sz w:val="20"/>
          <w:szCs w:val="20"/>
        </w:rPr>
        <w:t>General government</w:t>
      </w:r>
      <w:r w:rsidR="00117AE3" w:rsidRPr="00B2550C">
        <w:rPr>
          <w:rFonts w:ascii="Arial" w:eastAsia="Calibri" w:hAnsi="Arial"/>
          <w:b/>
          <w:bCs/>
          <w:color w:val="595959"/>
          <w:sz w:val="20"/>
          <w:szCs w:val="20"/>
        </w:rPr>
        <w:t xml:space="preserve"> sector: </w:t>
      </w:r>
      <w:r w:rsidR="00117AE3" w:rsidRPr="00B2550C">
        <w:rPr>
          <w:rFonts w:ascii="Arial" w:eastAsia="Calibri" w:hAnsi="Arial"/>
          <w:color w:val="595959"/>
          <w:sz w:val="20"/>
          <w:szCs w:val="20"/>
        </w:rPr>
        <w:t xml:space="preserve">This sector includes activities of a governmental nature, normally carried out by the public administration. It also includes compulsory social security activities. </w:t>
      </w:r>
    </w:p>
    <w:p w14:paraId="18E8B4A4" w14:textId="77777777" w:rsidR="00064313" w:rsidRDefault="00064313" w:rsidP="00257A96">
      <w:pPr>
        <w:autoSpaceDE w:val="0"/>
        <w:autoSpaceDN w:val="0"/>
        <w:adjustRightInd w:val="0"/>
        <w:spacing w:after="0" w:line="360" w:lineRule="auto"/>
        <w:jc w:val="both"/>
        <w:rPr>
          <w:rFonts w:ascii="Arial" w:eastAsia="Calibri" w:hAnsi="Arial"/>
          <w:b/>
          <w:bCs/>
          <w:color w:val="595959"/>
          <w:sz w:val="20"/>
          <w:szCs w:val="20"/>
        </w:rPr>
      </w:pPr>
    </w:p>
    <w:p w14:paraId="3A3454D4" w14:textId="4CF59AB4" w:rsidR="00064313" w:rsidRPr="00B74E1F" w:rsidRDefault="00064313" w:rsidP="00117AE3">
      <w:pPr>
        <w:autoSpaceDE w:val="0"/>
        <w:autoSpaceDN w:val="0"/>
        <w:adjustRightInd w:val="0"/>
        <w:spacing w:after="0" w:line="360" w:lineRule="auto"/>
        <w:jc w:val="both"/>
        <w:rPr>
          <w:rFonts w:ascii="Arial" w:eastAsia="Calibri" w:hAnsi="Arial"/>
          <w:color w:val="595959"/>
          <w:sz w:val="20"/>
          <w:szCs w:val="20"/>
        </w:rPr>
      </w:pPr>
      <w:r>
        <w:rPr>
          <w:rFonts w:ascii="Arial" w:eastAsia="Calibri" w:hAnsi="Arial"/>
          <w:b/>
          <w:bCs/>
          <w:color w:val="595959"/>
          <w:sz w:val="20"/>
          <w:szCs w:val="20"/>
        </w:rPr>
        <w:t xml:space="preserve">QES: </w:t>
      </w:r>
      <w:r>
        <w:rPr>
          <w:rFonts w:ascii="Arial" w:eastAsia="Calibri" w:hAnsi="Arial"/>
          <w:color w:val="595959"/>
          <w:sz w:val="20"/>
          <w:szCs w:val="20"/>
        </w:rPr>
        <w:t>Quarterly Economic Survey.</w:t>
      </w:r>
    </w:p>
    <w:p w14:paraId="2D59DEF0" w14:textId="77777777" w:rsidR="00117AE3" w:rsidRPr="00B2550C" w:rsidRDefault="00117AE3" w:rsidP="00257A96">
      <w:pPr>
        <w:autoSpaceDE w:val="0"/>
        <w:autoSpaceDN w:val="0"/>
        <w:adjustRightInd w:val="0"/>
        <w:spacing w:after="0" w:line="360" w:lineRule="auto"/>
        <w:jc w:val="both"/>
        <w:rPr>
          <w:rFonts w:ascii="Arial" w:eastAsia="Calibri" w:hAnsi="Arial"/>
          <w:bCs/>
          <w:color w:val="595959"/>
          <w:sz w:val="20"/>
          <w:szCs w:val="20"/>
        </w:rPr>
      </w:pPr>
    </w:p>
    <w:p w14:paraId="6BCA7347" w14:textId="77777777" w:rsidR="00117AE3" w:rsidRPr="00B2550C" w:rsidRDefault="00117AE3" w:rsidP="00117AE3">
      <w:pPr>
        <w:autoSpaceDE w:val="0"/>
        <w:autoSpaceDN w:val="0"/>
        <w:adjustRightInd w:val="0"/>
        <w:spacing w:after="0" w:line="360" w:lineRule="auto"/>
        <w:jc w:val="both"/>
        <w:rPr>
          <w:rFonts w:ascii="Arial" w:hAnsi="Arial"/>
          <w:color w:val="595959"/>
          <w:sz w:val="20"/>
          <w:szCs w:val="20"/>
        </w:rPr>
      </w:pPr>
      <w:r w:rsidRPr="00B2550C">
        <w:rPr>
          <w:rFonts w:ascii="Arial" w:eastAsia="Calibri" w:hAnsi="Arial"/>
          <w:b/>
          <w:color w:val="595959"/>
          <w:sz w:val="20"/>
          <w:szCs w:val="20"/>
        </w:rPr>
        <w:t xml:space="preserve">Value added: </w:t>
      </w:r>
      <w:r w:rsidRPr="00B2550C">
        <w:rPr>
          <w:rFonts w:ascii="Arial" w:hAnsi="Arial"/>
          <w:color w:val="595959"/>
          <w:sz w:val="20"/>
          <w:szCs w:val="20"/>
        </w:rPr>
        <w:t>Gross value added is the value of output less the value of intermediate consumption; it is a measure of the contribution to GDP made by an individual producer, industry or sector.</w:t>
      </w:r>
    </w:p>
    <w:p w14:paraId="60FE3929" w14:textId="77777777" w:rsidR="00117AE3" w:rsidRDefault="00117AE3" w:rsidP="00117AE3">
      <w:pPr>
        <w:autoSpaceDE w:val="0"/>
        <w:autoSpaceDN w:val="0"/>
        <w:adjustRightInd w:val="0"/>
        <w:spacing w:after="0" w:line="360" w:lineRule="auto"/>
        <w:jc w:val="both"/>
        <w:rPr>
          <w:rFonts w:ascii="Arial" w:hAnsi="Arial"/>
          <w:color w:val="595959"/>
          <w:sz w:val="20"/>
          <w:szCs w:val="20"/>
        </w:rPr>
      </w:pPr>
    </w:p>
    <w:p w14:paraId="315BC148" w14:textId="77777777" w:rsidR="004210F4" w:rsidRPr="00B2550C" w:rsidRDefault="004210F4" w:rsidP="00117AE3">
      <w:pPr>
        <w:autoSpaceDE w:val="0"/>
        <w:autoSpaceDN w:val="0"/>
        <w:adjustRightInd w:val="0"/>
        <w:spacing w:after="0" w:line="360" w:lineRule="auto"/>
        <w:jc w:val="both"/>
        <w:rPr>
          <w:rFonts w:ascii="Arial" w:hAnsi="Arial"/>
          <w:b/>
          <w:bCs/>
          <w:color w:val="595959"/>
          <w:sz w:val="20"/>
          <w:szCs w:val="20"/>
        </w:rPr>
      </w:pPr>
    </w:p>
    <w:p w14:paraId="13E3D036" w14:textId="77777777" w:rsidR="00117AE3" w:rsidRPr="00B2550C" w:rsidRDefault="00117AE3" w:rsidP="005245EB">
      <w:pPr>
        <w:pStyle w:val="EcoHeading1"/>
        <w:ind w:firstLine="810"/>
        <w:rPr>
          <w:rFonts w:eastAsia="Calibri"/>
        </w:rPr>
      </w:pPr>
      <w:r w:rsidRPr="00B2550C">
        <w:rPr>
          <w:rFonts w:eastAsia="Calibri"/>
        </w:rPr>
        <w:t>More information</w:t>
      </w:r>
    </w:p>
    <w:p w14:paraId="25B753D4" w14:textId="0F5B3673" w:rsidR="00117AE3" w:rsidRPr="00B2550C" w:rsidRDefault="00117AE3" w:rsidP="00117AE3">
      <w:pPr>
        <w:spacing w:line="360" w:lineRule="auto"/>
        <w:jc w:val="both"/>
        <w:rPr>
          <w:rFonts w:ascii="Arial" w:hAnsi="Arial"/>
          <w:color w:val="595959"/>
          <w:sz w:val="20"/>
          <w:szCs w:val="20"/>
          <w:u w:val="single"/>
        </w:rPr>
      </w:pPr>
      <w:r w:rsidRPr="00B2550C">
        <w:rPr>
          <w:rFonts w:ascii="Arial" w:hAnsi="Arial"/>
          <w:color w:val="595959"/>
          <w:sz w:val="20"/>
          <w:szCs w:val="20"/>
        </w:rPr>
        <w:t xml:space="preserve">For more information about the GDP and other official statistics for the Emirate of Abu Dhabi, please visit the statistics link on the SCAD website at </w:t>
      </w:r>
      <w:r w:rsidRPr="004356F1">
        <w:rPr>
          <w:rStyle w:val="Hyperlink"/>
          <w:rFonts w:ascii="Arial" w:hAnsi="Arial"/>
          <w:color w:val="595959"/>
          <w:sz w:val="20"/>
          <w:szCs w:val="20"/>
        </w:rPr>
        <w:t>http://www.scad.</w:t>
      </w:r>
      <w:r w:rsidR="0028521F">
        <w:rPr>
          <w:rFonts w:ascii="Arial" w:hAnsi="Arial"/>
          <w:color w:val="595959"/>
          <w:sz w:val="20"/>
          <w:szCs w:val="20"/>
          <w:u w:val="single"/>
        </w:rPr>
        <w:t>gov.abudhabi</w:t>
      </w:r>
    </w:p>
    <w:p w14:paraId="0517A5F0" w14:textId="77777777" w:rsidR="00117AE3" w:rsidRPr="00B2550C" w:rsidRDefault="00117AE3" w:rsidP="00117AE3">
      <w:pPr>
        <w:autoSpaceDE w:val="0"/>
        <w:autoSpaceDN w:val="0"/>
        <w:adjustRightInd w:val="0"/>
        <w:spacing w:after="0" w:line="240" w:lineRule="auto"/>
        <w:contextualSpacing/>
        <w:rPr>
          <w:rFonts w:ascii="Arial" w:hAnsi="Arial"/>
          <w:color w:val="595959"/>
          <w:sz w:val="20"/>
          <w:szCs w:val="20"/>
          <w:u w:val="single"/>
        </w:rPr>
      </w:pPr>
    </w:p>
    <w:p w14:paraId="7745AB52" w14:textId="77777777" w:rsidR="00117AE3" w:rsidRPr="00B2550C" w:rsidRDefault="00117AE3" w:rsidP="00117AE3">
      <w:pPr>
        <w:autoSpaceDE w:val="0"/>
        <w:autoSpaceDN w:val="0"/>
        <w:adjustRightInd w:val="0"/>
        <w:spacing w:after="0" w:line="240" w:lineRule="auto"/>
        <w:contextualSpacing/>
        <w:rPr>
          <w:rFonts w:ascii="Arial" w:hAnsi="Arial"/>
          <w:color w:val="595959"/>
          <w:sz w:val="20"/>
          <w:szCs w:val="20"/>
        </w:rPr>
      </w:pPr>
    </w:p>
    <w:p w14:paraId="46CA5F67" w14:textId="77777777" w:rsidR="00117AE3" w:rsidRPr="00B2550C" w:rsidRDefault="00117AE3" w:rsidP="005245EB">
      <w:pPr>
        <w:pStyle w:val="EcoHeading1"/>
        <w:ind w:firstLine="810"/>
      </w:pPr>
      <w:r w:rsidRPr="00B2550C">
        <w:t xml:space="preserve">Disclaimer </w:t>
      </w:r>
    </w:p>
    <w:p w14:paraId="5CBABA93" w14:textId="35EEA107" w:rsidR="00117AE3" w:rsidRPr="00B2550C" w:rsidRDefault="00117AE3" w:rsidP="005245EB">
      <w:pPr>
        <w:spacing w:before="120" w:after="120" w:line="360" w:lineRule="auto"/>
        <w:jc w:val="both"/>
        <w:rPr>
          <w:rFonts w:ascii="Arial" w:hAnsi="Arial"/>
          <w:color w:val="595959"/>
          <w:sz w:val="20"/>
          <w:szCs w:val="20"/>
        </w:rPr>
      </w:pPr>
      <w:r w:rsidRPr="00B2550C">
        <w:rPr>
          <w:rFonts w:ascii="Arial" w:hAnsi="Arial"/>
          <w:color w:val="595959"/>
          <w:sz w:val="20"/>
          <w:szCs w:val="20"/>
        </w:rPr>
        <w:t>While all care and diligence has been taken with the compilation of official statistics, The Statistics Centre–Abu Dhabi gives no warranty that the information, data or statistics, supplied are free of errors. SCAD shall not be liable for any loss or damage suffered by the user following the direct or indirect use of the statistics supplied in good faith by SCAD. Users of Official Statistics are responsible for determining when and how to use the statistics for specific purposes.</w:t>
      </w:r>
    </w:p>
    <w:p w14:paraId="0294702C" w14:textId="77777777" w:rsidR="00117AE3" w:rsidRDefault="00117AE3" w:rsidP="00117AE3">
      <w:pPr>
        <w:rPr>
          <w:rFonts w:ascii="Arial" w:hAnsi="Arial"/>
          <w:color w:val="595959"/>
          <w:sz w:val="20"/>
          <w:szCs w:val="20"/>
        </w:rPr>
      </w:pPr>
    </w:p>
    <w:p w14:paraId="13A00880" w14:textId="77777777" w:rsidR="00117AE3" w:rsidRDefault="00117AE3" w:rsidP="00117AE3">
      <w:pPr>
        <w:rPr>
          <w:rFonts w:ascii="Arial" w:hAnsi="Arial"/>
          <w:color w:val="595959"/>
          <w:sz w:val="20"/>
          <w:szCs w:val="20"/>
        </w:rPr>
      </w:pPr>
    </w:p>
    <w:p w14:paraId="7D72D909" w14:textId="77777777" w:rsidR="001352F1" w:rsidRPr="00117AE3" w:rsidRDefault="001352F1" w:rsidP="0089209C">
      <w:pPr>
        <w:pStyle w:val="EcoHeading1"/>
      </w:pPr>
    </w:p>
    <w:sectPr w:rsidR="001352F1" w:rsidRPr="00117AE3" w:rsidSect="0003560F">
      <w:pgSz w:w="11907" w:h="16839" w:code="9"/>
      <w:pgMar w:top="1304" w:right="1197" w:bottom="1304"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6D2F1" w14:textId="77777777" w:rsidR="006638AC" w:rsidRDefault="006638AC" w:rsidP="00B24289">
      <w:pPr>
        <w:spacing w:after="0" w:line="240" w:lineRule="auto"/>
      </w:pPr>
      <w:r>
        <w:separator/>
      </w:r>
    </w:p>
  </w:endnote>
  <w:endnote w:type="continuationSeparator" w:id="0">
    <w:p w14:paraId="643D7C96" w14:textId="77777777" w:rsidR="006638AC" w:rsidRDefault="006638AC" w:rsidP="00B2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552"/>
      <w:gridCol w:w="386"/>
    </w:tblGrid>
    <w:tr w:rsidR="006638AC" w:rsidRPr="00323D63" w14:paraId="61B944BE" w14:textId="77777777" w:rsidTr="00A164B5">
      <w:trPr>
        <w:jc w:val="center"/>
      </w:trPr>
      <w:tc>
        <w:tcPr>
          <w:tcW w:w="6237" w:type="dxa"/>
          <w:tcBorders>
            <w:right w:val="single" w:sz="2" w:space="0" w:color="FFFFFF" w:themeColor="background1"/>
          </w:tcBorders>
          <w:shd w:val="clear" w:color="auto" w:fill="595959" w:themeFill="text1"/>
        </w:tcPr>
        <w:p w14:paraId="55AEC6B8" w14:textId="77777777" w:rsidR="006638AC" w:rsidRPr="00323D63" w:rsidRDefault="006638AC" w:rsidP="002E7B8F">
          <w:pPr>
            <w:pStyle w:val="Footer"/>
            <w:jc w:val="right"/>
            <w:rPr>
              <w:sz w:val="16"/>
              <w:szCs w:val="16"/>
            </w:rPr>
          </w:pPr>
        </w:p>
      </w:tc>
      <w:tc>
        <w:tcPr>
          <w:tcW w:w="2552" w:type="dxa"/>
          <w:tcBorders>
            <w:left w:val="single" w:sz="2" w:space="0" w:color="FFFFFF" w:themeColor="background1"/>
            <w:right w:val="single" w:sz="18" w:space="0" w:color="8A1E04"/>
          </w:tcBorders>
          <w:shd w:val="clear" w:color="auto" w:fill="D6A461" w:themeFill="text2"/>
        </w:tcPr>
        <w:p w14:paraId="2D0A56F0" w14:textId="77777777" w:rsidR="006638AC" w:rsidRPr="00323D63" w:rsidRDefault="006638AC" w:rsidP="002E7B8F">
          <w:pPr>
            <w:pStyle w:val="Footer"/>
            <w:rPr>
              <w:sz w:val="16"/>
              <w:szCs w:val="16"/>
            </w:rPr>
          </w:pPr>
        </w:p>
      </w:tc>
      <w:tc>
        <w:tcPr>
          <w:tcW w:w="386" w:type="dxa"/>
          <w:tcBorders>
            <w:left w:val="single" w:sz="18" w:space="0" w:color="8A1E04"/>
          </w:tcBorders>
          <w:shd w:val="clear" w:color="auto" w:fill="D6A461" w:themeFill="text2"/>
        </w:tcPr>
        <w:p w14:paraId="00B603B7" w14:textId="77777777" w:rsidR="006638AC" w:rsidRPr="00323D63" w:rsidRDefault="006638AC" w:rsidP="002E7B8F">
          <w:pPr>
            <w:pStyle w:val="Footer"/>
            <w:rPr>
              <w:sz w:val="16"/>
              <w:szCs w:val="16"/>
            </w:rPr>
          </w:pPr>
        </w:p>
      </w:tc>
    </w:tr>
    <w:tr w:rsidR="006638AC" w14:paraId="6A76D4E2" w14:textId="77777777" w:rsidTr="00A164B5">
      <w:trPr>
        <w:jc w:val="center"/>
      </w:trPr>
      <w:tc>
        <w:tcPr>
          <w:tcW w:w="6237" w:type="dxa"/>
        </w:tcPr>
        <w:p w14:paraId="1B8F0EE2" w14:textId="77777777" w:rsidR="006638AC" w:rsidRPr="00315E97" w:rsidRDefault="006638AC" w:rsidP="002E7B8F">
          <w:pPr>
            <w:pStyle w:val="Footer"/>
            <w:rPr>
              <w:noProof/>
              <w:color w:val="8A1E04"/>
            </w:rPr>
          </w:pPr>
        </w:p>
      </w:tc>
      <w:tc>
        <w:tcPr>
          <w:tcW w:w="2552" w:type="dxa"/>
          <w:tcBorders>
            <w:right w:val="single" w:sz="18" w:space="0" w:color="8A1E04"/>
          </w:tcBorders>
        </w:tcPr>
        <w:p w14:paraId="5A3ABB95" w14:textId="77777777" w:rsidR="006638AC" w:rsidRDefault="006638AC" w:rsidP="002E7B8F">
          <w:pPr>
            <w:pStyle w:val="Footer"/>
          </w:pPr>
        </w:p>
      </w:tc>
      <w:tc>
        <w:tcPr>
          <w:tcW w:w="386" w:type="dxa"/>
          <w:tcBorders>
            <w:left w:val="single" w:sz="18" w:space="0" w:color="8A1E04"/>
          </w:tcBorders>
        </w:tcPr>
        <w:sdt>
          <w:sdtPr>
            <w:rPr>
              <w:color w:val="8A1E04"/>
            </w:rPr>
            <w:id w:val="1466931006"/>
            <w:docPartObj>
              <w:docPartGallery w:val="Page Numbers (Bottom of Page)"/>
              <w:docPartUnique/>
            </w:docPartObj>
          </w:sdtPr>
          <w:sdtEndPr>
            <w:rPr>
              <w:noProof/>
            </w:rPr>
          </w:sdtEndPr>
          <w:sdtContent>
            <w:p w14:paraId="1A3B27E9" w14:textId="77777777" w:rsidR="006638AC" w:rsidRPr="00315E97" w:rsidRDefault="006638AC" w:rsidP="002E7B8F">
              <w:pPr>
                <w:pStyle w:val="Footer"/>
                <w:jc w:val="right"/>
                <w:rPr>
                  <w:noProof/>
                  <w:color w:val="8A1E04"/>
                </w:rPr>
              </w:pPr>
              <w:r w:rsidRPr="00315E97">
                <w:rPr>
                  <w:color w:val="8A1E04"/>
                </w:rPr>
                <w:fldChar w:fldCharType="begin"/>
              </w:r>
              <w:r w:rsidRPr="00315E97">
                <w:rPr>
                  <w:color w:val="8A1E04"/>
                </w:rPr>
                <w:instrText xml:space="preserve"> PAGE   \* MERGEFORMAT </w:instrText>
              </w:r>
              <w:r w:rsidRPr="00315E97">
                <w:rPr>
                  <w:color w:val="8A1E04"/>
                </w:rPr>
                <w:fldChar w:fldCharType="separate"/>
              </w:r>
              <w:r w:rsidR="00A00116">
                <w:rPr>
                  <w:noProof/>
                  <w:color w:val="8A1E04"/>
                </w:rPr>
                <w:t>11</w:t>
              </w:r>
              <w:r w:rsidRPr="00315E97">
                <w:rPr>
                  <w:noProof/>
                  <w:color w:val="8A1E04"/>
                </w:rPr>
                <w:fldChar w:fldCharType="end"/>
              </w:r>
            </w:p>
          </w:sdtContent>
        </w:sdt>
      </w:tc>
    </w:tr>
  </w:tbl>
  <w:p w14:paraId="6BD1C7A1" w14:textId="77777777" w:rsidR="006638AC" w:rsidRPr="002E7B8F" w:rsidRDefault="006638AC" w:rsidP="002E7B8F">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231AD" w14:textId="77777777" w:rsidR="006638AC" w:rsidRDefault="006638AC" w:rsidP="00B24289">
      <w:pPr>
        <w:spacing w:after="0" w:line="240" w:lineRule="auto"/>
      </w:pPr>
      <w:r>
        <w:separator/>
      </w:r>
    </w:p>
  </w:footnote>
  <w:footnote w:type="continuationSeparator" w:id="0">
    <w:p w14:paraId="4E4849CF" w14:textId="77777777" w:rsidR="006638AC" w:rsidRDefault="006638AC" w:rsidP="00B24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65E34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C23E1"/>
    <w:multiLevelType w:val="hybridMultilevel"/>
    <w:tmpl w:val="578899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C29D9"/>
    <w:multiLevelType w:val="hybridMultilevel"/>
    <w:tmpl w:val="46989A64"/>
    <w:lvl w:ilvl="0" w:tplc="629ED14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B32B2"/>
    <w:multiLevelType w:val="hybridMultilevel"/>
    <w:tmpl w:val="07082144"/>
    <w:lvl w:ilvl="0" w:tplc="246485D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727E"/>
    <w:multiLevelType w:val="hybridMultilevel"/>
    <w:tmpl w:val="5BFA0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F5328"/>
    <w:multiLevelType w:val="hybridMultilevel"/>
    <w:tmpl w:val="418621C2"/>
    <w:lvl w:ilvl="0" w:tplc="83B2D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4829B9"/>
    <w:multiLevelType w:val="hybridMultilevel"/>
    <w:tmpl w:val="7CB0F544"/>
    <w:lvl w:ilvl="0" w:tplc="0DB8CF8A">
      <w:start w:val="5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277AB"/>
    <w:multiLevelType w:val="hybridMultilevel"/>
    <w:tmpl w:val="D4EA9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76348"/>
    <w:multiLevelType w:val="hybridMultilevel"/>
    <w:tmpl w:val="DDDA7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65E52"/>
    <w:multiLevelType w:val="hybridMultilevel"/>
    <w:tmpl w:val="5B22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257B9"/>
    <w:multiLevelType w:val="multilevel"/>
    <w:tmpl w:val="4B4AC80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B0AD2"/>
    <w:multiLevelType w:val="hybridMultilevel"/>
    <w:tmpl w:val="FF76DAF4"/>
    <w:lvl w:ilvl="0" w:tplc="A238A60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14A2DC2"/>
    <w:multiLevelType w:val="hybridMultilevel"/>
    <w:tmpl w:val="24A42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36AC5"/>
    <w:multiLevelType w:val="hybridMultilevel"/>
    <w:tmpl w:val="B222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82A03"/>
    <w:multiLevelType w:val="hybridMultilevel"/>
    <w:tmpl w:val="90B61EAE"/>
    <w:lvl w:ilvl="0" w:tplc="87F2E7C4">
      <w:start w:val="1"/>
      <w:numFmt w:val="bullet"/>
      <w:pStyle w:val="EnvBulle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53DF2"/>
    <w:multiLevelType w:val="hybridMultilevel"/>
    <w:tmpl w:val="56882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94D80"/>
    <w:multiLevelType w:val="hybridMultilevel"/>
    <w:tmpl w:val="E2F0D7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28308F"/>
    <w:multiLevelType w:val="hybridMultilevel"/>
    <w:tmpl w:val="87428148"/>
    <w:lvl w:ilvl="0" w:tplc="D82ED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B3CBD"/>
    <w:multiLevelType w:val="multilevel"/>
    <w:tmpl w:val="BBB45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C70C1"/>
    <w:multiLevelType w:val="hybridMultilevel"/>
    <w:tmpl w:val="DD6A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C28C1"/>
    <w:multiLevelType w:val="hybridMultilevel"/>
    <w:tmpl w:val="7736B058"/>
    <w:lvl w:ilvl="0" w:tplc="DF6495CE">
      <w:start w:val="2"/>
      <w:numFmt w:val="bullet"/>
      <w:lvlText w:val="•"/>
      <w:lvlJc w:val="left"/>
      <w:pPr>
        <w:ind w:left="720" w:hanging="360"/>
      </w:pPr>
      <w:rPr>
        <w:rFonts w:ascii="SymbolMT" w:eastAsia="Calibri" w:hAnsi="SymbolMT" w:cs="SymbolMT"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F0533"/>
    <w:multiLevelType w:val="hybridMultilevel"/>
    <w:tmpl w:val="8D1C10CA"/>
    <w:lvl w:ilvl="0" w:tplc="86EEC1D6">
      <w:start w:val="1"/>
      <w:numFmt w:val="bullet"/>
      <w:pStyle w:val="EcoBulleting"/>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236583"/>
    <w:multiLevelType w:val="hybridMultilevel"/>
    <w:tmpl w:val="504CE9E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4216D1"/>
    <w:multiLevelType w:val="hybridMultilevel"/>
    <w:tmpl w:val="2994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9475C"/>
    <w:multiLevelType w:val="hybridMultilevel"/>
    <w:tmpl w:val="FC3A0AE0"/>
    <w:lvl w:ilvl="0" w:tplc="AD28611E">
      <w:start w:val="1"/>
      <w:numFmt w:val="decimal"/>
      <w:pStyle w:val="EcoNumbering"/>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014FD7"/>
    <w:multiLevelType w:val="hybridMultilevel"/>
    <w:tmpl w:val="DA80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0C148B"/>
    <w:multiLevelType w:val="hybridMultilevel"/>
    <w:tmpl w:val="5592498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C11D5"/>
    <w:multiLevelType w:val="hybridMultilevel"/>
    <w:tmpl w:val="4E36FA66"/>
    <w:lvl w:ilvl="0" w:tplc="C920612C">
      <w:start w:val="5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81C34"/>
    <w:multiLevelType w:val="hybridMultilevel"/>
    <w:tmpl w:val="616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545839"/>
    <w:multiLevelType w:val="hybridMultilevel"/>
    <w:tmpl w:val="274E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A375F"/>
    <w:multiLevelType w:val="hybridMultilevel"/>
    <w:tmpl w:val="F604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6"/>
  </w:num>
  <w:num w:numId="4">
    <w:abstractNumId w:val="23"/>
  </w:num>
  <w:num w:numId="5">
    <w:abstractNumId w:val="20"/>
  </w:num>
  <w:num w:numId="6">
    <w:abstractNumId w:val="10"/>
  </w:num>
  <w:num w:numId="7">
    <w:abstractNumId w:val="22"/>
  </w:num>
  <w:num w:numId="8">
    <w:abstractNumId w:val="11"/>
  </w:num>
  <w:num w:numId="9">
    <w:abstractNumId w:val="30"/>
  </w:num>
  <w:num w:numId="10">
    <w:abstractNumId w:val="4"/>
  </w:num>
  <w:num w:numId="11">
    <w:abstractNumId w:val="29"/>
  </w:num>
  <w:num w:numId="12">
    <w:abstractNumId w:val="6"/>
  </w:num>
  <w:num w:numId="13">
    <w:abstractNumId w:val="27"/>
  </w:num>
  <w:num w:numId="14">
    <w:abstractNumId w:val="19"/>
  </w:num>
  <w:num w:numId="15">
    <w:abstractNumId w:val="14"/>
  </w:num>
  <w:num w:numId="16">
    <w:abstractNumId w:val="13"/>
  </w:num>
  <w:num w:numId="17">
    <w:abstractNumId w:val="25"/>
  </w:num>
  <w:num w:numId="18">
    <w:abstractNumId w:val="12"/>
  </w:num>
  <w:num w:numId="19">
    <w:abstractNumId w:val="15"/>
  </w:num>
  <w:num w:numId="20">
    <w:abstractNumId w:val="8"/>
  </w:num>
  <w:num w:numId="21">
    <w:abstractNumId w:val="7"/>
  </w:num>
  <w:num w:numId="22">
    <w:abstractNumId w:val="0"/>
  </w:num>
  <w:num w:numId="23">
    <w:abstractNumId w:val="1"/>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2"/>
  </w:num>
  <w:num w:numId="36">
    <w:abstractNumId w:val="5"/>
  </w:num>
  <w:num w:numId="37">
    <w:abstractNumId w:val="21"/>
  </w:num>
  <w:num w:numId="38">
    <w:abstractNumId w:val="17"/>
  </w:num>
  <w:num w:numId="39">
    <w:abstractNumId w:val="21"/>
  </w:num>
  <w:num w:numId="40">
    <w:abstractNumId w:val="24"/>
  </w:num>
  <w:num w:numId="41">
    <w:abstractNumId w:val="28"/>
  </w:num>
  <w:num w:numId="42">
    <w:abstractNumId w:val="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38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9078D"/>
    <w:rsid w:val="00000770"/>
    <w:rsid w:val="0000147C"/>
    <w:rsid w:val="000019A6"/>
    <w:rsid w:val="00002953"/>
    <w:rsid w:val="0000342D"/>
    <w:rsid w:val="00003757"/>
    <w:rsid w:val="00003929"/>
    <w:rsid w:val="0000449E"/>
    <w:rsid w:val="00004E59"/>
    <w:rsid w:val="000054A2"/>
    <w:rsid w:val="00005898"/>
    <w:rsid w:val="00005A69"/>
    <w:rsid w:val="00006867"/>
    <w:rsid w:val="000069BF"/>
    <w:rsid w:val="00010AF7"/>
    <w:rsid w:val="00010C7D"/>
    <w:rsid w:val="00011104"/>
    <w:rsid w:val="00011502"/>
    <w:rsid w:val="0001193C"/>
    <w:rsid w:val="00013D84"/>
    <w:rsid w:val="00014F47"/>
    <w:rsid w:val="00015400"/>
    <w:rsid w:val="00015807"/>
    <w:rsid w:val="00015CF7"/>
    <w:rsid w:val="00015ED9"/>
    <w:rsid w:val="00016FFB"/>
    <w:rsid w:val="00017C3D"/>
    <w:rsid w:val="000202B0"/>
    <w:rsid w:val="00020B6B"/>
    <w:rsid w:val="00021AC2"/>
    <w:rsid w:val="00022F96"/>
    <w:rsid w:val="000231D3"/>
    <w:rsid w:val="000233A3"/>
    <w:rsid w:val="0002379A"/>
    <w:rsid w:val="00023C58"/>
    <w:rsid w:val="00023C6B"/>
    <w:rsid w:val="00023DB1"/>
    <w:rsid w:val="00026AEC"/>
    <w:rsid w:val="00026C40"/>
    <w:rsid w:val="00026E90"/>
    <w:rsid w:val="0003278C"/>
    <w:rsid w:val="000330A2"/>
    <w:rsid w:val="0003313D"/>
    <w:rsid w:val="000335C6"/>
    <w:rsid w:val="00033B69"/>
    <w:rsid w:val="00034260"/>
    <w:rsid w:val="000350F0"/>
    <w:rsid w:val="0003560F"/>
    <w:rsid w:val="00036182"/>
    <w:rsid w:val="00040C70"/>
    <w:rsid w:val="00041518"/>
    <w:rsid w:val="00042709"/>
    <w:rsid w:val="00042936"/>
    <w:rsid w:val="00042C7D"/>
    <w:rsid w:val="00045ABA"/>
    <w:rsid w:val="00045EE3"/>
    <w:rsid w:val="0004636E"/>
    <w:rsid w:val="00047468"/>
    <w:rsid w:val="00047BE7"/>
    <w:rsid w:val="000512A9"/>
    <w:rsid w:val="00054456"/>
    <w:rsid w:val="00054A89"/>
    <w:rsid w:val="00054FA3"/>
    <w:rsid w:val="000558ED"/>
    <w:rsid w:val="00055973"/>
    <w:rsid w:val="00057868"/>
    <w:rsid w:val="00057F16"/>
    <w:rsid w:val="00061FE7"/>
    <w:rsid w:val="00063C2B"/>
    <w:rsid w:val="00064313"/>
    <w:rsid w:val="00064E94"/>
    <w:rsid w:val="0006530D"/>
    <w:rsid w:val="00065BE4"/>
    <w:rsid w:val="00066179"/>
    <w:rsid w:val="000664CD"/>
    <w:rsid w:val="00066628"/>
    <w:rsid w:val="00066AB4"/>
    <w:rsid w:val="00066C77"/>
    <w:rsid w:val="00067670"/>
    <w:rsid w:val="00071922"/>
    <w:rsid w:val="00072344"/>
    <w:rsid w:val="00073960"/>
    <w:rsid w:val="000740FE"/>
    <w:rsid w:val="0007434E"/>
    <w:rsid w:val="00075C13"/>
    <w:rsid w:val="00076DF4"/>
    <w:rsid w:val="00077C94"/>
    <w:rsid w:val="00080F00"/>
    <w:rsid w:val="00081A20"/>
    <w:rsid w:val="00082A90"/>
    <w:rsid w:val="00082D7D"/>
    <w:rsid w:val="00085086"/>
    <w:rsid w:val="00085BED"/>
    <w:rsid w:val="000860F6"/>
    <w:rsid w:val="000866F5"/>
    <w:rsid w:val="00086B77"/>
    <w:rsid w:val="0008764E"/>
    <w:rsid w:val="00087938"/>
    <w:rsid w:val="0009092C"/>
    <w:rsid w:val="00090A4E"/>
    <w:rsid w:val="00090A56"/>
    <w:rsid w:val="00093417"/>
    <w:rsid w:val="00093603"/>
    <w:rsid w:val="00093D47"/>
    <w:rsid w:val="00094A17"/>
    <w:rsid w:val="000963F3"/>
    <w:rsid w:val="000965B1"/>
    <w:rsid w:val="00097620"/>
    <w:rsid w:val="00097E90"/>
    <w:rsid w:val="000A0514"/>
    <w:rsid w:val="000A07FE"/>
    <w:rsid w:val="000A16B1"/>
    <w:rsid w:val="000A24FE"/>
    <w:rsid w:val="000A28A1"/>
    <w:rsid w:val="000A2B1B"/>
    <w:rsid w:val="000A317E"/>
    <w:rsid w:val="000A38AE"/>
    <w:rsid w:val="000A3C8A"/>
    <w:rsid w:val="000A48FD"/>
    <w:rsid w:val="000A5544"/>
    <w:rsid w:val="000A60F3"/>
    <w:rsid w:val="000A64ED"/>
    <w:rsid w:val="000A6E6A"/>
    <w:rsid w:val="000B03B5"/>
    <w:rsid w:val="000B0C0C"/>
    <w:rsid w:val="000B1AAD"/>
    <w:rsid w:val="000B1F00"/>
    <w:rsid w:val="000B2F18"/>
    <w:rsid w:val="000B3AA8"/>
    <w:rsid w:val="000B48CE"/>
    <w:rsid w:val="000B5837"/>
    <w:rsid w:val="000B7869"/>
    <w:rsid w:val="000C095B"/>
    <w:rsid w:val="000C26DD"/>
    <w:rsid w:val="000C28A3"/>
    <w:rsid w:val="000C3A12"/>
    <w:rsid w:val="000C5CE6"/>
    <w:rsid w:val="000C61E0"/>
    <w:rsid w:val="000C6C19"/>
    <w:rsid w:val="000C6E11"/>
    <w:rsid w:val="000C7516"/>
    <w:rsid w:val="000C7D34"/>
    <w:rsid w:val="000D0213"/>
    <w:rsid w:val="000D035F"/>
    <w:rsid w:val="000D313E"/>
    <w:rsid w:val="000D35F9"/>
    <w:rsid w:val="000D498B"/>
    <w:rsid w:val="000D51CA"/>
    <w:rsid w:val="000D5507"/>
    <w:rsid w:val="000D5793"/>
    <w:rsid w:val="000D5F07"/>
    <w:rsid w:val="000D712A"/>
    <w:rsid w:val="000E00B2"/>
    <w:rsid w:val="000E0823"/>
    <w:rsid w:val="000E09C1"/>
    <w:rsid w:val="000E2D80"/>
    <w:rsid w:val="000E3A99"/>
    <w:rsid w:val="000E4AD2"/>
    <w:rsid w:val="000E4D7E"/>
    <w:rsid w:val="000E5678"/>
    <w:rsid w:val="000E5EAE"/>
    <w:rsid w:val="000E7477"/>
    <w:rsid w:val="000E787D"/>
    <w:rsid w:val="000F034A"/>
    <w:rsid w:val="000F1316"/>
    <w:rsid w:val="000F20A4"/>
    <w:rsid w:val="000F238F"/>
    <w:rsid w:val="000F3D54"/>
    <w:rsid w:val="000F474E"/>
    <w:rsid w:val="000F4BD8"/>
    <w:rsid w:val="000F4FC5"/>
    <w:rsid w:val="000F6920"/>
    <w:rsid w:val="000F7B6C"/>
    <w:rsid w:val="0010025A"/>
    <w:rsid w:val="00100BA0"/>
    <w:rsid w:val="00102085"/>
    <w:rsid w:val="00103044"/>
    <w:rsid w:val="0010369D"/>
    <w:rsid w:val="0010370C"/>
    <w:rsid w:val="0010375E"/>
    <w:rsid w:val="0010482A"/>
    <w:rsid w:val="00105387"/>
    <w:rsid w:val="001063CF"/>
    <w:rsid w:val="00106EFF"/>
    <w:rsid w:val="001072EF"/>
    <w:rsid w:val="00110231"/>
    <w:rsid w:val="001122E4"/>
    <w:rsid w:val="00112381"/>
    <w:rsid w:val="00112415"/>
    <w:rsid w:val="001129A5"/>
    <w:rsid w:val="001145EF"/>
    <w:rsid w:val="001155DF"/>
    <w:rsid w:val="00115899"/>
    <w:rsid w:val="00116BAF"/>
    <w:rsid w:val="00117543"/>
    <w:rsid w:val="00117AE3"/>
    <w:rsid w:val="00120734"/>
    <w:rsid w:val="00120C5A"/>
    <w:rsid w:val="0012142C"/>
    <w:rsid w:val="001259C5"/>
    <w:rsid w:val="001268A6"/>
    <w:rsid w:val="00126C40"/>
    <w:rsid w:val="001324D2"/>
    <w:rsid w:val="00132C97"/>
    <w:rsid w:val="00134E9F"/>
    <w:rsid w:val="00135080"/>
    <w:rsid w:val="001352F1"/>
    <w:rsid w:val="00136561"/>
    <w:rsid w:val="00136CD0"/>
    <w:rsid w:val="0013723F"/>
    <w:rsid w:val="001378B2"/>
    <w:rsid w:val="00137F84"/>
    <w:rsid w:val="001407DC"/>
    <w:rsid w:val="00140B69"/>
    <w:rsid w:val="00140FDF"/>
    <w:rsid w:val="0014133A"/>
    <w:rsid w:val="0014152A"/>
    <w:rsid w:val="00141C94"/>
    <w:rsid w:val="00142232"/>
    <w:rsid w:val="0014339D"/>
    <w:rsid w:val="00146EE1"/>
    <w:rsid w:val="00147E40"/>
    <w:rsid w:val="0015001A"/>
    <w:rsid w:val="00150646"/>
    <w:rsid w:val="001526E2"/>
    <w:rsid w:val="001539D0"/>
    <w:rsid w:val="00154369"/>
    <w:rsid w:val="00154867"/>
    <w:rsid w:val="00154870"/>
    <w:rsid w:val="00155231"/>
    <w:rsid w:val="001552A6"/>
    <w:rsid w:val="001556EB"/>
    <w:rsid w:val="00156D44"/>
    <w:rsid w:val="00157982"/>
    <w:rsid w:val="001610AE"/>
    <w:rsid w:val="00161510"/>
    <w:rsid w:val="00161A94"/>
    <w:rsid w:val="0016203F"/>
    <w:rsid w:val="00162069"/>
    <w:rsid w:val="00162078"/>
    <w:rsid w:val="001634FC"/>
    <w:rsid w:val="00163548"/>
    <w:rsid w:val="001639DF"/>
    <w:rsid w:val="001641A7"/>
    <w:rsid w:val="00164EEC"/>
    <w:rsid w:val="00164F54"/>
    <w:rsid w:val="001659CE"/>
    <w:rsid w:val="0017117D"/>
    <w:rsid w:val="00172C2C"/>
    <w:rsid w:val="001738B7"/>
    <w:rsid w:val="00174D0C"/>
    <w:rsid w:val="00174ECC"/>
    <w:rsid w:val="0017513C"/>
    <w:rsid w:val="00175143"/>
    <w:rsid w:val="00177FC7"/>
    <w:rsid w:val="00180309"/>
    <w:rsid w:val="001804A5"/>
    <w:rsid w:val="001816BC"/>
    <w:rsid w:val="00181E3A"/>
    <w:rsid w:val="001822B2"/>
    <w:rsid w:val="00182D08"/>
    <w:rsid w:val="00182DE6"/>
    <w:rsid w:val="001848B6"/>
    <w:rsid w:val="00184E96"/>
    <w:rsid w:val="00184FDF"/>
    <w:rsid w:val="00186DD5"/>
    <w:rsid w:val="00186F75"/>
    <w:rsid w:val="00190802"/>
    <w:rsid w:val="00191405"/>
    <w:rsid w:val="00192CB0"/>
    <w:rsid w:val="00193B3D"/>
    <w:rsid w:val="00193B53"/>
    <w:rsid w:val="0019408B"/>
    <w:rsid w:val="001952FE"/>
    <w:rsid w:val="00196EBD"/>
    <w:rsid w:val="001A0B12"/>
    <w:rsid w:val="001A2BD5"/>
    <w:rsid w:val="001A366B"/>
    <w:rsid w:val="001A4E10"/>
    <w:rsid w:val="001A7638"/>
    <w:rsid w:val="001B26E9"/>
    <w:rsid w:val="001B2FCD"/>
    <w:rsid w:val="001B3362"/>
    <w:rsid w:val="001B5549"/>
    <w:rsid w:val="001B5DEF"/>
    <w:rsid w:val="001C08EF"/>
    <w:rsid w:val="001C1FEA"/>
    <w:rsid w:val="001C254D"/>
    <w:rsid w:val="001C25DC"/>
    <w:rsid w:val="001C2A88"/>
    <w:rsid w:val="001C2E22"/>
    <w:rsid w:val="001C3306"/>
    <w:rsid w:val="001C341C"/>
    <w:rsid w:val="001C46C5"/>
    <w:rsid w:val="001C4FA9"/>
    <w:rsid w:val="001C50AF"/>
    <w:rsid w:val="001C5783"/>
    <w:rsid w:val="001C5DFC"/>
    <w:rsid w:val="001C7B24"/>
    <w:rsid w:val="001D0C5D"/>
    <w:rsid w:val="001D0CED"/>
    <w:rsid w:val="001D1A83"/>
    <w:rsid w:val="001D21A4"/>
    <w:rsid w:val="001D239A"/>
    <w:rsid w:val="001D3219"/>
    <w:rsid w:val="001D3CBE"/>
    <w:rsid w:val="001D3F27"/>
    <w:rsid w:val="001D4769"/>
    <w:rsid w:val="001D637A"/>
    <w:rsid w:val="001D7E88"/>
    <w:rsid w:val="001E03A2"/>
    <w:rsid w:val="001E07D7"/>
    <w:rsid w:val="001E1779"/>
    <w:rsid w:val="001E1813"/>
    <w:rsid w:val="001E1E1B"/>
    <w:rsid w:val="001E4341"/>
    <w:rsid w:val="001E4DA9"/>
    <w:rsid w:val="001E4E89"/>
    <w:rsid w:val="001E50A3"/>
    <w:rsid w:val="001E596D"/>
    <w:rsid w:val="001E660E"/>
    <w:rsid w:val="001E6DBE"/>
    <w:rsid w:val="001F004B"/>
    <w:rsid w:val="001F0F8A"/>
    <w:rsid w:val="001F1F6A"/>
    <w:rsid w:val="001F303E"/>
    <w:rsid w:val="001F4178"/>
    <w:rsid w:val="001F47C4"/>
    <w:rsid w:val="001F4C3A"/>
    <w:rsid w:val="001F6356"/>
    <w:rsid w:val="001F6EA2"/>
    <w:rsid w:val="001F6FEC"/>
    <w:rsid w:val="001F7574"/>
    <w:rsid w:val="001F7625"/>
    <w:rsid w:val="001F79B7"/>
    <w:rsid w:val="002009EB"/>
    <w:rsid w:val="00200D63"/>
    <w:rsid w:val="00201936"/>
    <w:rsid w:val="00201CBF"/>
    <w:rsid w:val="00203552"/>
    <w:rsid w:val="00204201"/>
    <w:rsid w:val="002053F4"/>
    <w:rsid w:val="00205891"/>
    <w:rsid w:val="002117AC"/>
    <w:rsid w:val="00211868"/>
    <w:rsid w:val="0021485C"/>
    <w:rsid w:val="00215692"/>
    <w:rsid w:val="00220763"/>
    <w:rsid w:val="00221266"/>
    <w:rsid w:val="002216FD"/>
    <w:rsid w:val="00222555"/>
    <w:rsid w:val="00222F85"/>
    <w:rsid w:val="00224CC5"/>
    <w:rsid w:val="00224F35"/>
    <w:rsid w:val="00224F6E"/>
    <w:rsid w:val="00225DCB"/>
    <w:rsid w:val="002273E8"/>
    <w:rsid w:val="00227566"/>
    <w:rsid w:val="0022779E"/>
    <w:rsid w:val="0023007E"/>
    <w:rsid w:val="00230D34"/>
    <w:rsid w:val="00232A5A"/>
    <w:rsid w:val="00233492"/>
    <w:rsid w:val="00233FC4"/>
    <w:rsid w:val="00235577"/>
    <w:rsid w:val="0023704C"/>
    <w:rsid w:val="0023732D"/>
    <w:rsid w:val="00237B93"/>
    <w:rsid w:val="0024055E"/>
    <w:rsid w:val="00242449"/>
    <w:rsid w:val="00242D76"/>
    <w:rsid w:val="0024322C"/>
    <w:rsid w:val="002435F5"/>
    <w:rsid w:val="00244BD6"/>
    <w:rsid w:val="002452DF"/>
    <w:rsid w:val="002454C2"/>
    <w:rsid w:val="002456A9"/>
    <w:rsid w:val="0024597D"/>
    <w:rsid w:val="00245B1D"/>
    <w:rsid w:val="0024652D"/>
    <w:rsid w:val="002477DB"/>
    <w:rsid w:val="00247818"/>
    <w:rsid w:val="002530E3"/>
    <w:rsid w:val="00254499"/>
    <w:rsid w:val="002559F6"/>
    <w:rsid w:val="0025631A"/>
    <w:rsid w:val="00256578"/>
    <w:rsid w:val="00256D83"/>
    <w:rsid w:val="00256FA2"/>
    <w:rsid w:val="00257902"/>
    <w:rsid w:val="00257A96"/>
    <w:rsid w:val="002609B4"/>
    <w:rsid w:val="00261338"/>
    <w:rsid w:val="00261918"/>
    <w:rsid w:val="00263327"/>
    <w:rsid w:val="00263643"/>
    <w:rsid w:val="00263739"/>
    <w:rsid w:val="00264D0C"/>
    <w:rsid w:val="00265BBF"/>
    <w:rsid w:val="00265E8C"/>
    <w:rsid w:val="002668B7"/>
    <w:rsid w:val="00267C12"/>
    <w:rsid w:val="00267F34"/>
    <w:rsid w:val="00270560"/>
    <w:rsid w:val="00270EF0"/>
    <w:rsid w:val="002727F8"/>
    <w:rsid w:val="0027306A"/>
    <w:rsid w:val="0027383B"/>
    <w:rsid w:val="00273B8F"/>
    <w:rsid w:val="0027431F"/>
    <w:rsid w:val="00274B09"/>
    <w:rsid w:val="00275F6A"/>
    <w:rsid w:val="00276331"/>
    <w:rsid w:val="00276FA7"/>
    <w:rsid w:val="00277BE8"/>
    <w:rsid w:val="002815E1"/>
    <w:rsid w:val="00283904"/>
    <w:rsid w:val="00283CBE"/>
    <w:rsid w:val="0028521F"/>
    <w:rsid w:val="0028688F"/>
    <w:rsid w:val="00286AD9"/>
    <w:rsid w:val="002878B0"/>
    <w:rsid w:val="00287E0D"/>
    <w:rsid w:val="00287EC6"/>
    <w:rsid w:val="00290C21"/>
    <w:rsid w:val="00291670"/>
    <w:rsid w:val="00291A5C"/>
    <w:rsid w:val="00292F59"/>
    <w:rsid w:val="00293832"/>
    <w:rsid w:val="00295D7E"/>
    <w:rsid w:val="00297157"/>
    <w:rsid w:val="002A02B8"/>
    <w:rsid w:val="002A1614"/>
    <w:rsid w:val="002A45AE"/>
    <w:rsid w:val="002A4AF9"/>
    <w:rsid w:val="002A4F10"/>
    <w:rsid w:val="002A629D"/>
    <w:rsid w:val="002A6784"/>
    <w:rsid w:val="002A72A4"/>
    <w:rsid w:val="002B01DE"/>
    <w:rsid w:val="002B0339"/>
    <w:rsid w:val="002B0D7C"/>
    <w:rsid w:val="002B131F"/>
    <w:rsid w:val="002B2F65"/>
    <w:rsid w:val="002B4B59"/>
    <w:rsid w:val="002B546D"/>
    <w:rsid w:val="002B5BB2"/>
    <w:rsid w:val="002B5D66"/>
    <w:rsid w:val="002B688E"/>
    <w:rsid w:val="002B73C7"/>
    <w:rsid w:val="002B7EB3"/>
    <w:rsid w:val="002C0142"/>
    <w:rsid w:val="002C3EE3"/>
    <w:rsid w:val="002C3F36"/>
    <w:rsid w:val="002C480E"/>
    <w:rsid w:val="002C5ADC"/>
    <w:rsid w:val="002C644D"/>
    <w:rsid w:val="002C7372"/>
    <w:rsid w:val="002C7546"/>
    <w:rsid w:val="002C7E7F"/>
    <w:rsid w:val="002D013F"/>
    <w:rsid w:val="002D0510"/>
    <w:rsid w:val="002D132F"/>
    <w:rsid w:val="002D34FE"/>
    <w:rsid w:val="002D4733"/>
    <w:rsid w:val="002D55A5"/>
    <w:rsid w:val="002D5F90"/>
    <w:rsid w:val="002D61F0"/>
    <w:rsid w:val="002E1295"/>
    <w:rsid w:val="002E29BD"/>
    <w:rsid w:val="002E33BD"/>
    <w:rsid w:val="002E43D0"/>
    <w:rsid w:val="002E488A"/>
    <w:rsid w:val="002E5631"/>
    <w:rsid w:val="002E6BC1"/>
    <w:rsid w:val="002E7B8F"/>
    <w:rsid w:val="002E7C7F"/>
    <w:rsid w:val="002F0FC3"/>
    <w:rsid w:val="002F1A9B"/>
    <w:rsid w:val="002F27C2"/>
    <w:rsid w:val="002F3A39"/>
    <w:rsid w:val="002F559B"/>
    <w:rsid w:val="002F5AF1"/>
    <w:rsid w:val="002F790E"/>
    <w:rsid w:val="00300080"/>
    <w:rsid w:val="003013BC"/>
    <w:rsid w:val="003021D4"/>
    <w:rsid w:val="0030249D"/>
    <w:rsid w:val="00303055"/>
    <w:rsid w:val="00303E8E"/>
    <w:rsid w:val="0030467E"/>
    <w:rsid w:val="003059CF"/>
    <w:rsid w:val="0030614C"/>
    <w:rsid w:val="0030688C"/>
    <w:rsid w:val="00306B13"/>
    <w:rsid w:val="00307429"/>
    <w:rsid w:val="00311C9E"/>
    <w:rsid w:val="00311CEC"/>
    <w:rsid w:val="0031274A"/>
    <w:rsid w:val="0031334E"/>
    <w:rsid w:val="0031479F"/>
    <w:rsid w:val="00315B09"/>
    <w:rsid w:val="00320781"/>
    <w:rsid w:val="00322F57"/>
    <w:rsid w:val="00324094"/>
    <w:rsid w:val="00326800"/>
    <w:rsid w:val="003273B3"/>
    <w:rsid w:val="003300D4"/>
    <w:rsid w:val="003302C3"/>
    <w:rsid w:val="00330905"/>
    <w:rsid w:val="00331F4B"/>
    <w:rsid w:val="003341C1"/>
    <w:rsid w:val="0033430C"/>
    <w:rsid w:val="00334DE1"/>
    <w:rsid w:val="00334F18"/>
    <w:rsid w:val="00334F35"/>
    <w:rsid w:val="0033565E"/>
    <w:rsid w:val="00336B24"/>
    <w:rsid w:val="00337C39"/>
    <w:rsid w:val="00340712"/>
    <w:rsid w:val="00340E07"/>
    <w:rsid w:val="0034400B"/>
    <w:rsid w:val="00345010"/>
    <w:rsid w:val="00345539"/>
    <w:rsid w:val="003457D6"/>
    <w:rsid w:val="00347E91"/>
    <w:rsid w:val="003504BE"/>
    <w:rsid w:val="00350FC7"/>
    <w:rsid w:val="00351909"/>
    <w:rsid w:val="00351F2C"/>
    <w:rsid w:val="0035313A"/>
    <w:rsid w:val="00353CEC"/>
    <w:rsid w:val="003566ED"/>
    <w:rsid w:val="003576D5"/>
    <w:rsid w:val="00357787"/>
    <w:rsid w:val="00360477"/>
    <w:rsid w:val="00360480"/>
    <w:rsid w:val="00360AC1"/>
    <w:rsid w:val="003612AC"/>
    <w:rsid w:val="00361565"/>
    <w:rsid w:val="003616C6"/>
    <w:rsid w:val="00361D4F"/>
    <w:rsid w:val="0036242A"/>
    <w:rsid w:val="003651D8"/>
    <w:rsid w:val="0036577A"/>
    <w:rsid w:val="0036690C"/>
    <w:rsid w:val="0036691E"/>
    <w:rsid w:val="00367136"/>
    <w:rsid w:val="003707F4"/>
    <w:rsid w:val="00371948"/>
    <w:rsid w:val="00371A57"/>
    <w:rsid w:val="00371BAA"/>
    <w:rsid w:val="003760F1"/>
    <w:rsid w:val="00376F03"/>
    <w:rsid w:val="0038093B"/>
    <w:rsid w:val="003810CB"/>
    <w:rsid w:val="00381710"/>
    <w:rsid w:val="00382CC3"/>
    <w:rsid w:val="003847E6"/>
    <w:rsid w:val="00386DD3"/>
    <w:rsid w:val="003873C7"/>
    <w:rsid w:val="00390226"/>
    <w:rsid w:val="00390939"/>
    <w:rsid w:val="0039156F"/>
    <w:rsid w:val="00391E76"/>
    <w:rsid w:val="00395CE9"/>
    <w:rsid w:val="00395D3A"/>
    <w:rsid w:val="00396CFB"/>
    <w:rsid w:val="00397A1B"/>
    <w:rsid w:val="003A0BEB"/>
    <w:rsid w:val="003A0CF1"/>
    <w:rsid w:val="003A0D98"/>
    <w:rsid w:val="003A1426"/>
    <w:rsid w:val="003A16FA"/>
    <w:rsid w:val="003A3B44"/>
    <w:rsid w:val="003A438D"/>
    <w:rsid w:val="003A75D1"/>
    <w:rsid w:val="003B0614"/>
    <w:rsid w:val="003B0698"/>
    <w:rsid w:val="003B1582"/>
    <w:rsid w:val="003B23C0"/>
    <w:rsid w:val="003B2965"/>
    <w:rsid w:val="003B2AAE"/>
    <w:rsid w:val="003B3D13"/>
    <w:rsid w:val="003B5E9C"/>
    <w:rsid w:val="003B6B3D"/>
    <w:rsid w:val="003C0D6F"/>
    <w:rsid w:val="003C2921"/>
    <w:rsid w:val="003C2CDC"/>
    <w:rsid w:val="003C3E06"/>
    <w:rsid w:val="003C4973"/>
    <w:rsid w:val="003C7157"/>
    <w:rsid w:val="003C760B"/>
    <w:rsid w:val="003C781B"/>
    <w:rsid w:val="003C7F54"/>
    <w:rsid w:val="003D13D5"/>
    <w:rsid w:val="003D15E6"/>
    <w:rsid w:val="003D5175"/>
    <w:rsid w:val="003D54B4"/>
    <w:rsid w:val="003D6650"/>
    <w:rsid w:val="003D6691"/>
    <w:rsid w:val="003D7A3B"/>
    <w:rsid w:val="003E097A"/>
    <w:rsid w:val="003E3458"/>
    <w:rsid w:val="003E3AEA"/>
    <w:rsid w:val="003E3F5C"/>
    <w:rsid w:val="003E4718"/>
    <w:rsid w:val="003E5074"/>
    <w:rsid w:val="003E5607"/>
    <w:rsid w:val="003E5683"/>
    <w:rsid w:val="003E60E1"/>
    <w:rsid w:val="003E7D9E"/>
    <w:rsid w:val="003F061F"/>
    <w:rsid w:val="003F0862"/>
    <w:rsid w:val="003F140F"/>
    <w:rsid w:val="003F22C5"/>
    <w:rsid w:val="003F2361"/>
    <w:rsid w:val="003F257E"/>
    <w:rsid w:val="003F3C88"/>
    <w:rsid w:val="003F4419"/>
    <w:rsid w:val="003F5101"/>
    <w:rsid w:val="003F554B"/>
    <w:rsid w:val="003F5C5C"/>
    <w:rsid w:val="003F623C"/>
    <w:rsid w:val="003F72F3"/>
    <w:rsid w:val="003F762E"/>
    <w:rsid w:val="004010E8"/>
    <w:rsid w:val="00401224"/>
    <w:rsid w:val="00402F1A"/>
    <w:rsid w:val="0040324B"/>
    <w:rsid w:val="00403980"/>
    <w:rsid w:val="00403C2E"/>
    <w:rsid w:val="00405B69"/>
    <w:rsid w:val="00406175"/>
    <w:rsid w:val="0040729A"/>
    <w:rsid w:val="00407C9C"/>
    <w:rsid w:val="00410580"/>
    <w:rsid w:val="0041395A"/>
    <w:rsid w:val="004144C1"/>
    <w:rsid w:val="00415269"/>
    <w:rsid w:val="00416532"/>
    <w:rsid w:val="00416D3D"/>
    <w:rsid w:val="00417097"/>
    <w:rsid w:val="00420092"/>
    <w:rsid w:val="00420BDD"/>
    <w:rsid w:val="00420CA7"/>
    <w:rsid w:val="004210F4"/>
    <w:rsid w:val="00422243"/>
    <w:rsid w:val="00422349"/>
    <w:rsid w:val="00422B2C"/>
    <w:rsid w:val="004230B7"/>
    <w:rsid w:val="00425114"/>
    <w:rsid w:val="00425631"/>
    <w:rsid w:val="00426426"/>
    <w:rsid w:val="004279EF"/>
    <w:rsid w:val="00430E56"/>
    <w:rsid w:val="00430E90"/>
    <w:rsid w:val="00432917"/>
    <w:rsid w:val="00433271"/>
    <w:rsid w:val="004339FB"/>
    <w:rsid w:val="00433C35"/>
    <w:rsid w:val="004356F1"/>
    <w:rsid w:val="00435EA3"/>
    <w:rsid w:val="00436990"/>
    <w:rsid w:val="0044196F"/>
    <w:rsid w:val="00441E26"/>
    <w:rsid w:val="004428D3"/>
    <w:rsid w:val="00442C8E"/>
    <w:rsid w:val="00443705"/>
    <w:rsid w:val="00445CEC"/>
    <w:rsid w:val="004460C6"/>
    <w:rsid w:val="004469C4"/>
    <w:rsid w:val="0044765A"/>
    <w:rsid w:val="00447DAC"/>
    <w:rsid w:val="00447DEA"/>
    <w:rsid w:val="004501D2"/>
    <w:rsid w:val="00451C15"/>
    <w:rsid w:val="00451D91"/>
    <w:rsid w:val="00452858"/>
    <w:rsid w:val="004528FD"/>
    <w:rsid w:val="00452CA8"/>
    <w:rsid w:val="004538F2"/>
    <w:rsid w:val="00453906"/>
    <w:rsid w:val="004540C3"/>
    <w:rsid w:val="00454CBE"/>
    <w:rsid w:val="00455735"/>
    <w:rsid w:val="00456829"/>
    <w:rsid w:val="00456A9D"/>
    <w:rsid w:val="00456F31"/>
    <w:rsid w:val="00457B3C"/>
    <w:rsid w:val="00460129"/>
    <w:rsid w:val="00460407"/>
    <w:rsid w:val="004630DE"/>
    <w:rsid w:val="00463C90"/>
    <w:rsid w:val="00463ED3"/>
    <w:rsid w:val="00464670"/>
    <w:rsid w:val="00467999"/>
    <w:rsid w:val="00467B21"/>
    <w:rsid w:val="00467B56"/>
    <w:rsid w:val="00470DCC"/>
    <w:rsid w:val="004713CC"/>
    <w:rsid w:val="0047190F"/>
    <w:rsid w:val="0047223E"/>
    <w:rsid w:val="0047301B"/>
    <w:rsid w:val="0047355B"/>
    <w:rsid w:val="00473C31"/>
    <w:rsid w:val="00473FE8"/>
    <w:rsid w:val="00476433"/>
    <w:rsid w:val="004767A2"/>
    <w:rsid w:val="00476A26"/>
    <w:rsid w:val="00477BB9"/>
    <w:rsid w:val="0048021F"/>
    <w:rsid w:val="00483F4A"/>
    <w:rsid w:val="0048546D"/>
    <w:rsid w:val="004907E8"/>
    <w:rsid w:val="00490B05"/>
    <w:rsid w:val="00490B95"/>
    <w:rsid w:val="00490DA9"/>
    <w:rsid w:val="00491C50"/>
    <w:rsid w:val="00492083"/>
    <w:rsid w:val="00493030"/>
    <w:rsid w:val="00493211"/>
    <w:rsid w:val="00493459"/>
    <w:rsid w:val="00495377"/>
    <w:rsid w:val="004954D4"/>
    <w:rsid w:val="00497DCE"/>
    <w:rsid w:val="004A1C1A"/>
    <w:rsid w:val="004A1C21"/>
    <w:rsid w:val="004A3748"/>
    <w:rsid w:val="004A3B0A"/>
    <w:rsid w:val="004A4CC8"/>
    <w:rsid w:val="004A5456"/>
    <w:rsid w:val="004A6B9B"/>
    <w:rsid w:val="004B07A5"/>
    <w:rsid w:val="004B0C1C"/>
    <w:rsid w:val="004B0D8C"/>
    <w:rsid w:val="004B1502"/>
    <w:rsid w:val="004B225F"/>
    <w:rsid w:val="004B36BC"/>
    <w:rsid w:val="004B3720"/>
    <w:rsid w:val="004B4B68"/>
    <w:rsid w:val="004B55DE"/>
    <w:rsid w:val="004B5861"/>
    <w:rsid w:val="004B5955"/>
    <w:rsid w:val="004B6543"/>
    <w:rsid w:val="004B6652"/>
    <w:rsid w:val="004B6DAD"/>
    <w:rsid w:val="004B6F55"/>
    <w:rsid w:val="004B7846"/>
    <w:rsid w:val="004B7B79"/>
    <w:rsid w:val="004B7F9F"/>
    <w:rsid w:val="004C0345"/>
    <w:rsid w:val="004C119F"/>
    <w:rsid w:val="004C1F8E"/>
    <w:rsid w:val="004C2AE6"/>
    <w:rsid w:val="004C339D"/>
    <w:rsid w:val="004C3AC1"/>
    <w:rsid w:val="004C3F93"/>
    <w:rsid w:val="004C413C"/>
    <w:rsid w:val="004C4367"/>
    <w:rsid w:val="004C613B"/>
    <w:rsid w:val="004C6953"/>
    <w:rsid w:val="004C6F3F"/>
    <w:rsid w:val="004C7985"/>
    <w:rsid w:val="004C7D9C"/>
    <w:rsid w:val="004C7F5D"/>
    <w:rsid w:val="004D026F"/>
    <w:rsid w:val="004D037F"/>
    <w:rsid w:val="004D09F1"/>
    <w:rsid w:val="004D399F"/>
    <w:rsid w:val="004D4BD8"/>
    <w:rsid w:val="004D5E24"/>
    <w:rsid w:val="004D642C"/>
    <w:rsid w:val="004D7021"/>
    <w:rsid w:val="004D771A"/>
    <w:rsid w:val="004D7F6E"/>
    <w:rsid w:val="004E0029"/>
    <w:rsid w:val="004E0359"/>
    <w:rsid w:val="004E12E4"/>
    <w:rsid w:val="004E15B4"/>
    <w:rsid w:val="004E28E6"/>
    <w:rsid w:val="004E2CD9"/>
    <w:rsid w:val="004E3021"/>
    <w:rsid w:val="004E331E"/>
    <w:rsid w:val="004E3EE4"/>
    <w:rsid w:val="004E45AC"/>
    <w:rsid w:val="004E47E1"/>
    <w:rsid w:val="004E6535"/>
    <w:rsid w:val="004E716E"/>
    <w:rsid w:val="004E718D"/>
    <w:rsid w:val="004F0A57"/>
    <w:rsid w:val="004F30C2"/>
    <w:rsid w:val="004F35BB"/>
    <w:rsid w:val="004F3CA0"/>
    <w:rsid w:val="004F5E64"/>
    <w:rsid w:val="004F6BF2"/>
    <w:rsid w:val="004F75D3"/>
    <w:rsid w:val="005015AA"/>
    <w:rsid w:val="00501D3C"/>
    <w:rsid w:val="005026C7"/>
    <w:rsid w:val="00502A1F"/>
    <w:rsid w:val="005032DC"/>
    <w:rsid w:val="00504B6E"/>
    <w:rsid w:val="00510F40"/>
    <w:rsid w:val="00511AD4"/>
    <w:rsid w:val="0051346B"/>
    <w:rsid w:val="00513A71"/>
    <w:rsid w:val="005140AE"/>
    <w:rsid w:val="00515737"/>
    <w:rsid w:val="00515968"/>
    <w:rsid w:val="00517008"/>
    <w:rsid w:val="00517FE1"/>
    <w:rsid w:val="00520892"/>
    <w:rsid w:val="00521070"/>
    <w:rsid w:val="005210E5"/>
    <w:rsid w:val="00521C2C"/>
    <w:rsid w:val="00522E70"/>
    <w:rsid w:val="00523B3D"/>
    <w:rsid w:val="005245EB"/>
    <w:rsid w:val="00524878"/>
    <w:rsid w:val="00524AF5"/>
    <w:rsid w:val="005250EC"/>
    <w:rsid w:val="00525824"/>
    <w:rsid w:val="00526A02"/>
    <w:rsid w:val="00526BA0"/>
    <w:rsid w:val="00526C1D"/>
    <w:rsid w:val="00526E96"/>
    <w:rsid w:val="00527466"/>
    <w:rsid w:val="005275FA"/>
    <w:rsid w:val="0052772A"/>
    <w:rsid w:val="00527785"/>
    <w:rsid w:val="005302FE"/>
    <w:rsid w:val="005309EE"/>
    <w:rsid w:val="00531747"/>
    <w:rsid w:val="0053213A"/>
    <w:rsid w:val="00533DD9"/>
    <w:rsid w:val="00534453"/>
    <w:rsid w:val="005344FC"/>
    <w:rsid w:val="005353BC"/>
    <w:rsid w:val="00535790"/>
    <w:rsid w:val="005359DF"/>
    <w:rsid w:val="005368BC"/>
    <w:rsid w:val="0054062F"/>
    <w:rsid w:val="0054150D"/>
    <w:rsid w:val="005428A0"/>
    <w:rsid w:val="00542EDE"/>
    <w:rsid w:val="00543858"/>
    <w:rsid w:val="0054413B"/>
    <w:rsid w:val="00545352"/>
    <w:rsid w:val="00545748"/>
    <w:rsid w:val="005463CC"/>
    <w:rsid w:val="00546F5C"/>
    <w:rsid w:val="00551234"/>
    <w:rsid w:val="00551F7B"/>
    <w:rsid w:val="00552C93"/>
    <w:rsid w:val="00553C42"/>
    <w:rsid w:val="00554D04"/>
    <w:rsid w:val="00554F96"/>
    <w:rsid w:val="00555D42"/>
    <w:rsid w:val="005561AA"/>
    <w:rsid w:val="00556A72"/>
    <w:rsid w:val="00557B61"/>
    <w:rsid w:val="00560AD7"/>
    <w:rsid w:val="0056195E"/>
    <w:rsid w:val="00561E34"/>
    <w:rsid w:val="00562977"/>
    <w:rsid w:val="00562E37"/>
    <w:rsid w:val="00566B17"/>
    <w:rsid w:val="00567032"/>
    <w:rsid w:val="005679C3"/>
    <w:rsid w:val="00571CC9"/>
    <w:rsid w:val="0057293E"/>
    <w:rsid w:val="00572D5D"/>
    <w:rsid w:val="00575397"/>
    <w:rsid w:val="0057561B"/>
    <w:rsid w:val="005767AB"/>
    <w:rsid w:val="00576ACA"/>
    <w:rsid w:val="005776EA"/>
    <w:rsid w:val="00580052"/>
    <w:rsid w:val="0058068F"/>
    <w:rsid w:val="005823B1"/>
    <w:rsid w:val="00583640"/>
    <w:rsid w:val="00583E45"/>
    <w:rsid w:val="00584DC3"/>
    <w:rsid w:val="00586949"/>
    <w:rsid w:val="00586BEA"/>
    <w:rsid w:val="00587AC1"/>
    <w:rsid w:val="0059078D"/>
    <w:rsid w:val="00590BBD"/>
    <w:rsid w:val="00592E97"/>
    <w:rsid w:val="005947D4"/>
    <w:rsid w:val="00596539"/>
    <w:rsid w:val="005A1A05"/>
    <w:rsid w:val="005A378C"/>
    <w:rsid w:val="005A63D2"/>
    <w:rsid w:val="005A6C0D"/>
    <w:rsid w:val="005B075E"/>
    <w:rsid w:val="005B0C9F"/>
    <w:rsid w:val="005B16B8"/>
    <w:rsid w:val="005B18D3"/>
    <w:rsid w:val="005B26FC"/>
    <w:rsid w:val="005B3264"/>
    <w:rsid w:val="005B3296"/>
    <w:rsid w:val="005B4C73"/>
    <w:rsid w:val="005B59FF"/>
    <w:rsid w:val="005B5AC1"/>
    <w:rsid w:val="005B6A45"/>
    <w:rsid w:val="005B73AA"/>
    <w:rsid w:val="005B7912"/>
    <w:rsid w:val="005C0431"/>
    <w:rsid w:val="005C1E01"/>
    <w:rsid w:val="005C236C"/>
    <w:rsid w:val="005C28FB"/>
    <w:rsid w:val="005C3419"/>
    <w:rsid w:val="005C4776"/>
    <w:rsid w:val="005C5501"/>
    <w:rsid w:val="005C55E0"/>
    <w:rsid w:val="005C5D27"/>
    <w:rsid w:val="005C6D6A"/>
    <w:rsid w:val="005C7E35"/>
    <w:rsid w:val="005D0275"/>
    <w:rsid w:val="005D0B48"/>
    <w:rsid w:val="005D3F53"/>
    <w:rsid w:val="005D430F"/>
    <w:rsid w:val="005D471E"/>
    <w:rsid w:val="005D5544"/>
    <w:rsid w:val="005D566D"/>
    <w:rsid w:val="005D6CD6"/>
    <w:rsid w:val="005D76D3"/>
    <w:rsid w:val="005D7FBA"/>
    <w:rsid w:val="005E0407"/>
    <w:rsid w:val="005E3031"/>
    <w:rsid w:val="005E3202"/>
    <w:rsid w:val="005E33CE"/>
    <w:rsid w:val="005E3914"/>
    <w:rsid w:val="005E7134"/>
    <w:rsid w:val="005E796A"/>
    <w:rsid w:val="005F0282"/>
    <w:rsid w:val="005F10B7"/>
    <w:rsid w:val="005F12C7"/>
    <w:rsid w:val="005F13FB"/>
    <w:rsid w:val="005F1837"/>
    <w:rsid w:val="005F1919"/>
    <w:rsid w:val="005F3753"/>
    <w:rsid w:val="005F3A6E"/>
    <w:rsid w:val="005F3C8C"/>
    <w:rsid w:val="005F472D"/>
    <w:rsid w:val="005F4C24"/>
    <w:rsid w:val="005F5195"/>
    <w:rsid w:val="005F69A0"/>
    <w:rsid w:val="005F759D"/>
    <w:rsid w:val="005F7D7D"/>
    <w:rsid w:val="00600047"/>
    <w:rsid w:val="006005DF"/>
    <w:rsid w:val="00600659"/>
    <w:rsid w:val="00601975"/>
    <w:rsid w:val="00602496"/>
    <w:rsid w:val="00602E11"/>
    <w:rsid w:val="006033E6"/>
    <w:rsid w:val="006102EB"/>
    <w:rsid w:val="0061091B"/>
    <w:rsid w:val="00612FE3"/>
    <w:rsid w:val="00613257"/>
    <w:rsid w:val="00613CF0"/>
    <w:rsid w:val="00616046"/>
    <w:rsid w:val="006163B2"/>
    <w:rsid w:val="0061641D"/>
    <w:rsid w:val="00617EB2"/>
    <w:rsid w:val="00621596"/>
    <w:rsid w:val="00621F7F"/>
    <w:rsid w:val="00622D15"/>
    <w:rsid w:val="00623901"/>
    <w:rsid w:val="006239D7"/>
    <w:rsid w:val="0062495E"/>
    <w:rsid w:val="00625292"/>
    <w:rsid w:val="00626B44"/>
    <w:rsid w:val="00627F5D"/>
    <w:rsid w:val="00630FC9"/>
    <w:rsid w:val="00631003"/>
    <w:rsid w:val="00631179"/>
    <w:rsid w:val="00631614"/>
    <w:rsid w:val="00631966"/>
    <w:rsid w:val="00631C1D"/>
    <w:rsid w:val="00632C3D"/>
    <w:rsid w:val="00633BCB"/>
    <w:rsid w:val="00634228"/>
    <w:rsid w:val="006342DA"/>
    <w:rsid w:val="00635D49"/>
    <w:rsid w:val="00635E24"/>
    <w:rsid w:val="00637BC4"/>
    <w:rsid w:val="00637C46"/>
    <w:rsid w:val="006414E2"/>
    <w:rsid w:val="00641AE4"/>
    <w:rsid w:val="0064216E"/>
    <w:rsid w:val="00642DC4"/>
    <w:rsid w:val="006474A0"/>
    <w:rsid w:val="006507EA"/>
    <w:rsid w:val="00651180"/>
    <w:rsid w:val="00653CD7"/>
    <w:rsid w:val="00654148"/>
    <w:rsid w:val="0065516B"/>
    <w:rsid w:val="00655882"/>
    <w:rsid w:val="0065724B"/>
    <w:rsid w:val="00657CF8"/>
    <w:rsid w:val="0066004A"/>
    <w:rsid w:val="00662112"/>
    <w:rsid w:val="00662D6D"/>
    <w:rsid w:val="0066337E"/>
    <w:rsid w:val="006638AC"/>
    <w:rsid w:val="006638FB"/>
    <w:rsid w:val="00663B50"/>
    <w:rsid w:val="00665D44"/>
    <w:rsid w:val="0066660E"/>
    <w:rsid w:val="006671BB"/>
    <w:rsid w:val="0066781F"/>
    <w:rsid w:val="00667D25"/>
    <w:rsid w:val="00672FA0"/>
    <w:rsid w:val="006739CD"/>
    <w:rsid w:val="006748A4"/>
    <w:rsid w:val="00674C0E"/>
    <w:rsid w:val="0067563C"/>
    <w:rsid w:val="00675E70"/>
    <w:rsid w:val="00675F4C"/>
    <w:rsid w:val="00675FB6"/>
    <w:rsid w:val="006761C5"/>
    <w:rsid w:val="006761E1"/>
    <w:rsid w:val="006768C7"/>
    <w:rsid w:val="00676A15"/>
    <w:rsid w:val="0067779D"/>
    <w:rsid w:val="00677800"/>
    <w:rsid w:val="00677F1F"/>
    <w:rsid w:val="0068055D"/>
    <w:rsid w:val="00681588"/>
    <w:rsid w:val="00681667"/>
    <w:rsid w:val="00681E02"/>
    <w:rsid w:val="0068341D"/>
    <w:rsid w:val="006835F9"/>
    <w:rsid w:val="00683E0A"/>
    <w:rsid w:val="00684B34"/>
    <w:rsid w:val="006856D3"/>
    <w:rsid w:val="00686515"/>
    <w:rsid w:val="0068658A"/>
    <w:rsid w:val="00691628"/>
    <w:rsid w:val="00691911"/>
    <w:rsid w:val="006927AF"/>
    <w:rsid w:val="0069399C"/>
    <w:rsid w:val="00694237"/>
    <w:rsid w:val="00694B2A"/>
    <w:rsid w:val="00696A1B"/>
    <w:rsid w:val="006A00B1"/>
    <w:rsid w:val="006A202A"/>
    <w:rsid w:val="006A28A1"/>
    <w:rsid w:val="006A28AA"/>
    <w:rsid w:val="006A33FE"/>
    <w:rsid w:val="006A4492"/>
    <w:rsid w:val="006A4C81"/>
    <w:rsid w:val="006A537F"/>
    <w:rsid w:val="006A5DD7"/>
    <w:rsid w:val="006B1E2A"/>
    <w:rsid w:val="006B2994"/>
    <w:rsid w:val="006B2BF8"/>
    <w:rsid w:val="006B3295"/>
    <w:rsid w:val="006B3425"/>
    <w:rsid w:val="006B361D"/>
    <w:rsid w:val="006B3772"/>
    <w:rsid w:val="006B41DE"/>
    <w:rsid w:val="006B5345"/>
    <w:rsid w:val="006B5B7E"/>
    <w:rsid w:val="006B6412"/>
    <w:rsid w:val="006C065B"/>
    <w:rsid w:val="006C10F0"/>
    <w:rsid w:val="006C225A"/>
    <w:rsid w:val="006C623E"/>
    <w:rsid w:val="006C7A49"/>
    <w:rsid w:val="006D049B"/>
    <w:rsid w:val="006D0924"/>
    <w:rsid w:val="006D0E1C"/>
    <w:rsid w:val="006D0F29"/>
    <w:rsid w:val="006D1AC4"/>
    <w:rsid w:val="006D399F"/>
    <w:rsid w:val="006D4041"/>
    <w:rsid w:val="006D4B95"/>
    <w:rsid w:val="006D55CD"/>
    <w:rsid w:val="006D5C5D"/>
    <w:rsid w:val="006D73EC"/>
    <w:rsid w:val="006D73F1"/>
    <w:rsid w:val="006D755C"/>
    <w:rsid w:val="006D7AAB"/>
    <w:rsid w:val="006E0362"/>
    <w:rsid w:val="006E03EC"/>
    <w:rsid w:val="006E17B0"/>
    <w:rsid w:val="006E19BD"/>
    <w:rsid w:val="006E2262"/>
    <w:rsid w:val="006E3445"/>
    <w:rsid w:val="006E76F4"/>
    <w:rsid w:val="006F0186"/>
    <w:rsid w:val="006F04F7"/>
    <w:rsid w:val="006F0F17"/>
    <w:rsid w:val="006F26D8"/>
    <w:rsid w:val="006F2ED9"/>
    <w:rsid w:val="006F3355"/>
    <w:rsid w:val="006F3F62"/>
    <w:rsid w:val="006F5895"/>
    <w:rsid w:val="006F6E26"/>
    <w:rsid w:val="006F7606"/>
    <w:rsid w:val="007016B4"/>
    <w:rsid w:val="00702310"/>
    <w:rsid w:val="00702A18"/>
    <w:rsid w:val="00702A72"/>
    <w:rsid w:val="0070483C"/>
    <w:rsid w:val="00704B3A"/>
    <w:rsid w:val="00707CC8"/>
    <w:rsid w:val="00710624"/>
    <w:rsid w:val="0071081D"/>
    <w:rsid w:val="00710C90"/>
    <w:rsid w:val="00711965"/>
    <w:rsid w:val="007120AA"/>
    <w:rsid w:val="00712373"/>
    <w:rsid w:val="00712EFC"/>
    <w:rsid w:val="00713797"/>
    <w:rsid w:val="00713A71"/>
    <w:rsid w:val="00715179"/>
    <w:rsid w:val="007153F6"/>
    <w:rsid w:val="00715BE8"/>
    <w:rsid w:val="0071618D"/>
    <w:rsid w:val="0071774B"/>
    <w:rsid w:val="00717971"/>
    <w:rsid w:val="0072057F"/>
    <w:rsid w:val="00720855"/>
    <w:rsid w:val="00720A1C"/>
    <w:rsid w:val="00720EC2"/>
    <w:rsid w:val="007217B6"/>
    <w:rsid w:val="00721FBF"/>
    <w:rsid w:val="00722E42"/>
    <w:rsid w:val="0072376F"/>
    <w:rsid w:val="00724862"/>
    <w:rsid w:val="00724C02"/>
    <w:rsid w:val="00724FEF"/>
    <w:rsid w:val="00726F00"/>
    <w:rsid w:val="00727019"/>
    <w:rsid w:val="00727BD8"/>
    <w:rsid w:val="00730055"/>
    <w:rsid w:val="00731889"/>
    <w:rsid w:val="0073204E"/>
    <w:rsid w:val="00732AC1"/>
    <w:rsid w:val="00732B31"/>
    <w:rsid w:val="00732BDD"/>
    <w:rsid w:val="00733299"/>
    <w:rsid w:val="007336F9"/>
    <w:rsid w:val="007354EB"/>
    <w:rsid w:val="0073616C"/>
    <w:rsid w:val="007373BF"/>
    <w:rsid w:val="007402A4"/>
    <w:rsid w:val="00740C3E"/>
    <w:rsid w:val="00740DFD"/>
    <w:rsid w:val="00740E84"/>
    <w:rsid w:val="00741021"/>
    <w:rsid w:val="00742B64"/>
    <w:rsid w:val="00742D06"/>
    <w:rsid w:val="00744A3C"/>
    <w:rsid w:val="00744E7E"/>
    <w:rsid w:val="00745AB9"/>
    <w:rsid w:val="0074677D"/>
    <w:rsid w:val="00746F7D"/>
    <w:rsid w:val="007511E6"/>
    <w:rsid w:val="00752696"/>
    <w:rsid w:val="007533B6"/>
    <w:rsid w:val="00754636"/>
    <w:rsid w:val="007547B1"/>
    <w:rsid w:val="00755016"/>
    <w:rsid w:val="007550FF"/>
    <w:rsid w:val="007551E3"/>
    <w:rsid w:val="007559AD"/>
    <w:rsid w:val="00755BFC"/>
    <w:rsid w:val="00756D03"/>
    <w:rsid w:val="00760684"/>
    <w:rsid w:val="007615F5"/>
    <w:rsid w:val="007625E7"/>
    <w:rsid w:val="007628F7"/>
    <w:rsid w:val="007634C7"/>
    <w:rsid w:val="00766298"/>
    <w:rsid w:val="00766F7A"/>
    <w:rsid w:val="00767112"/>
    <w:rsid w:val="00767E92"/>
    <w:rsid w:val="007705C5"/>
    <w:rsid w:val="00771F92"/>
    <w:rsid w:val="00772678"/>
    <w:rsid w:val="00773536"/>
    <w:rsid w:val="0077357C"/>
    <w:rsid w:val="0077464C"/>
    <w:rsid w:val="007750E4"/>
    <w:rsid w:val="00775132"/>
    <w:rsid w:val="00775E2B"/>
    <w:rsid w:val="00776E66"/>
    <w:rsid w:val="0077716D"/>
    <w:rsid w:val="00777C37"/>
    <w:rsid w:val="00783E55"/>
    <w:rsid w:val="00784E89"/>
    <w:rsid w:val="00785CDB"/>
    <w:rsid w:val="00785F69"/>
    <w:rsid w:val="00786CF9"/>
    <w:rsid w:val="00791781"/>
    <w:rsid w:val="00792F2B"/>
    <w:rsid w:val="00793FB0"/>
    <w:rsid w:val="007966D4"/>
    <w:rsid w:val="007A0813"/>
    <w:rsid w:val="007A0EA1"/>
    <w:rsid w:val="007A35DA"/>
    <w:rsid w:val="007A60E9"/>
    <w:rsid w:val="007B008E"/>
    <w:rsid w:val="007B253C"/>
    <w:rsid w:val="007B341D"/>
    <w:rsid w:val="007B4F2E"/>
    <w:rsid w:val="007B5D4C"/>
    <w:rsid w:val="007B5EF7"/>
    <w:rsid w:val="007B6542"/>
    <w:rsid w:val="007B6737"/>
    <w:rsid w:val="007B7161"/>
    <w:rsid w:val="007C0435"/>
    <w:rsid w:val="007C05E0"/>
    <w:rsid w:val="007C1CA4"/>
    <w:rsid w:val="007C20A2"/>
    <w:rsid w:val="007C2C7E"/>
    <w:rsid w:val="007C444E"/>
    <w:rsid w:val="007C4E19"/>
    <w:rsid w:val="007C509E"/>
    <w:rsid w:val="007D00D0"/>
    <w:rsid w:val="007D0194"/>
    <w:rsid w:val="007D139C"/>
    <w:rsid w:val="007D1713"/>
    <w:rsid w:val="007D34B0"/>
    <w:rsid w:val="007D50E6"/>
    <w:rsid w:val="007D637F"/>
    <w:rsid w:val="007E1A3C"/>
    <w:rsid w:val="007E2103"/>
    <w:rsid w:val="007E2BAD"/>
    <w:rsid w:val="007E3827"/>
    <w:rsid w:val="007E46B8"/>
    <w:rsid w:val="007E4AF6"/>
    <w:rsid w:val="007E6183"/>
    <w:rsid w:val="007E6DC1"/>
    <w:rsid w:val="007E7523"/>
    <w:rsid w:val="007F049C"/>
    <w:rsid w:val="007F0C65"/>
    <w:rsid w:val="007F0F12"/>
    <w:rsid w:val="007F2523"/>
    <w:rsid w:val="007F27E4"/>
    <w:rsid w:val="007F3B67"/>
    <w:rsid w:val="007F57F0"/>
    <w:rsid w:val="007F5AFD"/>
    <w:rsid w:val="007F7143"/>
    <w:rsid w:val="00800083"/>
    <w:rsid w:val="00801041"/>
    <w:rsid w:val="0080189D"/>
    <w:rsid w:val="00802A5F"/>
    <w:rsid w:val="00803747"/>
    <w:rsid w:val="008046F7"/>
    <w:rsid w:val="008060B6"/>
    <w:rsid w:val="008074D2"/>
    <w:rsid w:val="00807C49"/>
    <w:rsid w:val="00807EE8"/>
    <w:rsid w:val="008105E8"/>
    <w:rsid w:val="008125AA"/>
    <w:rsid w:val="008145FC"/>
    <w:rsid w:val="00814C62"/>
    <w:rsid w:val="00815544"/>
    <w:rsid w:val="00817697"/>
    <w:rsid w:val="00817B7A"/>
    <w:rsid w:val="00817DD8"/>
    <w:rsid w:val="0082141A"/>
    <w:rsid w:val="008222E9"/>
    <w:rsid w:val="00823341"/>
    <w:rsid w:val="00824632"/>
    <w:rsid w:val="00825534"/>
    <w:rsid w:val="0082564F"/>
    <w:rsid w:val="0082653F"/>
    <w:rsid w:val="008273B2"/>
    <w:rsid w:val="0082744E"/>
    <w:rsid w:val="00830144"/>
    <w:rsid w:val="0083037B"/>
    <w:rsid w:val="00830693"/>
    <w:rsid w:val="00831131"/>
    <w:rsid w:val="00831E4A"/>
    <w:rsid w:val="00832BB5"/>
    <w:rsid w:val="008349D0"/>
    <w:rsid w:val="00834CDE"/>
    <w:rsid w:val="008353EC"/>
    <w:rsid w:val="00836667"/>
    <w:rsid w:val="00836C3A"/>
    <w:rsid w:val="00837329"/>
    <w:rsid w:val="00837894"/>
    <w:rsid w:val="008408AB"/>
    <w:rsid w:val="008416D0"/>
    <w:rsid w:val="00842D9A"/>
    <w:rsid w:val="008432AD"/>
    <w:rsid w:val="00844C7A"/>
    <w:rsid w:val="0084566E"/>
    <w:rsid w:val="008456CD"/>
    <w:rsid w:val="00846A82"/>
    <w:rsid w:val="0084717B"/>
    <w:rsid w:val="00847CCF"/>
    <w:rsid w:val="00855FE7"/>
    <w:rsid w:val="00856678"/>
    <w:rsid w:val="00856BB5"/>
    <w:rsid w:val="00856EAE"/>
    <w:rsid w:val="00857A10"/>
    <w:rsid w:val="00857EC0"/>
    <w:rsid w:val="00860562"/>
    <w:rsid w:val="00862811"/>
    <w:rsid w:val="00863C53"/>
    <w:rsid w:val="0086493C"/>
    <w:rsid w:val="0086513C"/>
    <w:rsid w:val="008654E2"/>
    <w:rsid w:val="00865628"/>
    <w:rsid w:val="00866311"/>
    <w:rsid w:val="00866602"/>
    <w:rsid w:val="008668A2"/>
    <w:rsid w:val="00866BE6"/>
    <w:rsid w:val="00870E91"/>
    <w:rsid w:val="00871340"/>
    <w:rsid w:val="0087189C"/>
    <w:rsid w:val="00872AE1"/>
    <w:rsid w:val="00873E7F"/>
    <w:rsid w:val="00874EFC"/>
    <w:rsid w:val="00876F21"/>
    <w:rsid w:val="00877400"/>
    <w:rsid w:val="008774F7"/>
    <w:rsid w:val="0088125F"/>
    <w:rsid w:val="008817D5"/>
    <w:rsid w:val="00882012"/>
    <w:rsid w:val="008821F6"/>
    <w:rsid w:val="00882640"/>
    <w:rsid w:val="00882D88"/>
    <w:rsid w:val="00882DD3"/>
    <w:rsid w:val="00883639"/>
    <w:rsid w:val="0088383D"/>
    <w:rsid w:val="0088389C"/>
    <w:rsid w:val="008855EC"/>
    <w:rsid w:val="00887497"/>
    <w:rsid w:val="00890698"/>
    <w:rsid w:val="00890D4F"/>
    <w:rsid w:val="0089101E"/>
    <w:rsid w:val="008912C1"/>
    <w:rsid w:val="00891C93"/>
    <w:rsid w:val="0089209C"/>
    <w:rsid w:val="0089212E"/>
    <w:rsid w:val="0089214D"/>
    <w:rsid w:val="00892A45"/>
    <w:rsid w:val="008932B6"/>
    <w:rsid w:val="008939B9"/>
    <w:rsid w:val="00893F23"/>
    <w:rsid w:val="00894620"/>
    <w:rsid w:val="00894A35"/>
    <w:rsid w:val="00895A12"/>
    <w:rsid w:val="00897CE1"/>
    <w:rsid w:val="00897E13"/>
    <w:rsid w:val="008A3264"/>
    <w:rsid w:val="008A5A49"/>
    <w:rsid w:val="008A6252"/>
    <w:rsid w:val="008A70AF"/>
    <w:rsid w:val="008B0754"/>
    <w:rsid w:val="008B41C6"/>
    <w:rsid w:val="008B4A45"/>
    <w:rsid w:val="008B4A6C"/>
    <w:rsid w:val="008B52DE"/>
    <w:rsid w:val="008B59CA"/>
    <w:rsid w:val="008B6F95"/>
    <w:rsid w:val="008C2B4C"/>
    <w:rsid w:val="008C2C7D"/>
    <w:rsid w:val="008C4E93"/>
    <w:rsid w:val="008C53CD"/>
    <w:rsid w:val="008C5BD9"/>
    <w:rsid w:val="008C5E55"/>
    <w:rsid w:val="008C5F53"/>
    <w:rsid w:val="008C6E18"/>
    <w:rsid w:val="008C75C8"/>
    <w:rsid w:val="008C77F9"/>
    <w:rsid w:val="008D204B"/>
    <w:rsid w:val="008D39FB"/>
    <w:rsid w:val="008D3BBF"/>
    <w:rsid w:val="008D419A"/>
    <w:rsid w:val="008D48CD"/>
    <w:rsid w:val="008D51B2"/>
    <w:rsid w:val="008D5937"/>
    <w:rsid w:val="008D70CB"/>
    <w:rsid w:val="008E0309"/>
    <w:rsid w:val="008E0DC9"/>
    <w:rsid w:val="008E1A50"/>
    <w:rsid w:val="008E1C45"/>
    <w:rsid w:val="008E22CD"/>
    <w:rsid w:val="008E5491"/>
    <w:rsid w:val="008E66D4"/>
    <w:rsid w:val="008E687A"/>
    <w:rsid w:val="008F0FE1"/>
    <w:rsid w:val="008F1648"/>
    <w:rsid w:val="008F2F01"/>
    <w:rsid w:val="008F2F6C"/>
    <w:rsid w:val="008F5699"/>
    <w:rsid w:val="008F6553"/>
    <w:rsid w:val="008F71EB"/>
    <w:rsid w:val="009014E1"/>
    <w:rsid w:val="00901B65"/>
    <w:rsid w:val="009026A3"/>
    <w:rsid w:val="00902C11"/>
    <w:rsid w:val="00903170"/>
    <w:rsid w:val="00904071"/>
    <w:rsid w:val="00904E02"/>
    <w:rsid w:val="009067BE"/>
    <w:rsid w:val="00906883"/>
    <w:rsid w:val="00906AE3"/>
    <w:rsid w:val="00906F00"/>
    <w:rsid w:val="00907D48"/>
    <w:rsid w:val="00912135"/>
    <w:rsid w:val="00912622"/>
    <w:rsid w:val="00915A67"/>
    <w:rsid w:val="0091629B"/>
    <w:rsid w:val="00917809"/>
    <w:rsid w:val="009202A8"/>
    <w:rsid w:val="00920B24"/>
    <w:rsid w:val="0092473C"/>
    <w:rsid w:val="009263CC"/>
    <w:rsid w:val="00926A15"/>
    <w:rsid w:val="009274BD"/>
    <w:rsid w:val="00930017"/>
    <w:rsid w:val="00931BF3"/>
    <w:rsid w:val="009333D5"/>
    <w:rsid w:val="00933A40"/>
    <w:rsid w:val="00934697"/>
    <w:rsid w:val="00935455"/>
    <w:rsid w:val="009369A3"/>
    <w:rsid w:val="00936E40"/>
    <w:rsid w:val="00940C18"/>
    <w:rsid w:val="00940F34"/>
    <w:rsid w:val="0094128C"/>
    <w:rsid w:val="009414CA"/>
    <w:rsid w:val="00941A5C"/>
    <w:rsid w:val="00941F32"/>
    <w:rsid w:val="00942F76"/>
    <w:rsid w:val="009439A9"/>
    <w:rsid w:val="00944175"/>
    <w:rsid w:val="0094536F"/>
    <w:rsid w:val="00946417"/>
    <w:rsid w:val="0094684E"/>
    <w:rsid w:val="00946E69"/>
    <w:rsid w:val="009472D1"/>
    <w:rsid w:val="00947780"/>
    <w:rsid w:val="0095127A"/>
    <w:rsid w:val="009513BD"/>
    <w:rsid w:val="00955B0F"/>
    <w:rsid w:val="00957E01"/>
    <w:rsid w:val="009601C0"/>
    <w:rsid w:val="00960BD7"/>
    <w:rsid w:val="00961B5D"/>
    <w:rsid w:val="00961EE2"/>
    <w:rsid w:val="00962C29"/>
    <w:rsid w:val="00963654"/>
    <w:rsid w:val="009644A3"/>
    <w:rsid w:val="009655FA"/>
    <w:rsid w:val="00965974"/>
    <w:rsid w:val="00965B7A"/>
    <w:rsid w:val="00965C90"/>
    <w:rsid w:val="0096615F"/>
    <w:rsid w:val="009666BA"/>
    <w:rsid w:val="00966915"/>
    <w:rsid w:val="009669B8"/>
    <w:rsid w:val="009671CA"/>
    <w:rsid w:val="00967215"/>
    <w:rsid w:val="00970795"/>
    <w:rsid w:val="00971176"/>
    <w:rsid w:val="0097505E"/>
    <w:rsid w:val="00975C1A"/>
    <w:rsid w:val="00975DBB"/>
    <w:rsid w:val="009761A9"/>
    <w:rsid w:val="009800CB"/>
    <w:rsid w:val="009815CE"/>
    <w:rsid w:val="00983A7B"/>
    <w:rsid w:val="00986614"/>
    <w:rsid w:val="00990BAE"/>
    <w:rsid w:val="00991357"/>
    <w:rsid w:val="00991B94"/>
    <w:rsid w:val="00991F01"/>
    <w:rsid w:val="00992553"/>
    <w:rsid w:val="00993624"/>
    <w:rsid w:val="00993BCC"/>
    <w:rsid w:val="0099443D"/>
    <w:rsid w:val="00994E2C"/>
    <w:rsid w:val="00994F08"/>
    <w:rsid w:val="009959A6"/>
    <w:rsid w:val="00996A74"/>
    <w:rsid w:val="00997457"/>
    <w:rsid w:val="00997A7F"/>
    <w:rsid w:val="009A0B41"/>
    <w:rsid w:val="009A158A"/>
    <w:rsid w:val="009A3F7B"/>
    <w:rsid w:val="009A5265"/>
    <w:rsid w:val="009A645B"/>
    <w:rsid w:val="009A721D"/>
    <w:rsid w:val="009A72BC"/>
    <w:rsid w:val="009A7E75"/>
    <w:rsid w:val="009B1282"/>
    <w:rsid w:val="009B2020"/>
    <w:rsid w:val="009B272C"/>
    <w:rsid w:val="009B635B"/>
    <w:rsid w:val="009B673A"/>
    <w:rsid w:val="009B704D"/>
    <w:rsid w:val="009B796B"/>
    <w:rsid w:val="009B7D1D"/>
    <w:rsid w:val="009C05DF"/>
    <w:rsid w:val="009C10E3"/>
    <w:rsid w:val="009C1CC5"/>
    <w:rsid w:val="009C4301"/>
    <w:rsid w:val="009C5282"/>
    <w:rsid w:val="009C5814"/>
    <w:rsid w:val="009C5FAE"/>
    <w:rsid w:val="009C71D3"/>
    <w:rsid w:val="009D45F4"/>
    <w:rsid w:val="009D51BB"/>
    <w:rsid w:val="009D6F19"/>
    <w:rsid w:val="009D7396"/>
    <w:rsid w:val="009E0DDF"/>
    <w:rsid w:val="009E16AC"/>
    <w:rsid w:val="009E22F8"/>
    <w:rsid w:val="009E3D55"/>
    <w:rsid w:val="009E3F05"/>
    <w:rsid w:val="009E6836"/>
    <w:rsid w:val="009E77BE"/>
    <w:rsid w:val="009F073F"/>
    <w:rsid w:val="009F17BC"/>
    <w:rsid w:val="009F1B38"/>
    <w:rsid w:val="009F210D"/>
    <w:rsid w:val="009F3079"/>
    <w:rsid w:val="009F4E12"/>
    <w:rsid w:val="009F508C"/>
    <w:rsid w:val="009F5428"/>
    <w:rsid w:val="009F5BD4"/>
    <w:rsid w:val="009F6100"/>
    <w:rsid w:val="009F617F"/>
    <w:rsid w:val="009F668E"/>
    <w:rsid w:val="009F68DC"/>
    <w:rsid w:val="00A00116"/>
    <w:rsid w:val="00A012D9"/>
    <w:rsid w:val="00A0136E"/>
    <w:rsid w:val="00A017EF"/>
    <w:rsid w:val="00A019D9"/>
    <w:rsid w:val="00A01BFE"/>
    <w:rsid w:val="00A02A28"/>
    <w:rsid w:val="00A02D1B"/>
    <w:rsid w:val="00A05118"/>
    <w:rsid w:val="00A0556E"/>
    <w:rsid w:val="00A0697B"/>
    <w:rsid w:val="00A119BD"/>
    <w:rsid w:val="00A1223F"/>
    <w:rsid w:val="00A12D10"/>
    <w:rsid w:val="00A13863"/>
    <w:rsid w:val="00A14704"/>
    <w:rsid w:val="00A161E3"/>
    <w:rsid w:val="00A164B5"/>
    <w:rsid w:val="00A203D2"/>
    <w:rsid w:val="00A21639"/>
    <w:rsid w:val="00A22744"/>
    <w:rsid w:val="00A22D48"/>
    <w:rsid w:val="00A230C4"/>
    <w:rsid w:val="00A27ADE"/>
    <w:rsid w:val="00A27CAA"/>
    <w:rsid w:val="00A3037D"/>
    <w:rsid w:val="00A305D6"/>
    <w:rsid w:val="00A30702"/>
    <w:rsid w:val="00A30724"/>
    <w:rsid w:val="00A3132B"/>
    <w:rsid w:val="00A31865"/>
    <w:rsid w:val="00A31B3A"/>
    <w:rsid w:val="00A3257E"/>
    <w:rsid w:val="00A3282C"/>
    <w:rsid w:val="00A3433C"/>
    <w:rsid w:val="00A3469F"/>
    <w:rsid w:val="00A35FEB"/>
    <w:rsid w:val="00A379A2"/>
    <w:rsid w:val="00A37ABF"/>
    <w:rsid w:val="00A4133C"/>
    <w:rsid w:val="00A438FA"/>
    <w:rsid w:val="00A43E75"/>
    <w:rsid w:val="00A44535"/>
    <w:rsid w:val="00A44694"/>
    <w:rsid w:val="00A44C65"/>
    <w:rsid w:val="00A45A71"/>
    <w:rsid w:val="00A45CA8"/>
    <w:rsid w:val="00A508A0"/>
    <w:rsid w:val="00A51021"/>
    <w:rsid w:val="00A51215"/>
    <w:rsid w:val="00A51387"/>
    <w:rsid w:val="00A519CE"/>
    <w:rsid w:val="00A52891"/>
    <w:rsid w:val="00A52E89"/>
    <w:rsid w:val="00A54468"/>
    <w:rsid w:val="00A54B6C"/>
    <w:rsid w:val="00A60E7D"/>
    <w:rsid w:val="00A61552"/>
    <w:rsid w:val="00A6208A"/>
    <w:rsid w:val="00A623FB"/>
    <w:rsid w:val="00A627A3"/>
    <w:rsid w:val="00A6296C"/>
    <w:rsid w:val="00A641AB"/>
    <w:rsid w:val="00A648FE"/>
    <w:rsid w:val="00A660C7"/>
    <w:rsid w:val="00A671E3"/>
    <w:rsid w:val="00A67331"/>
    <w:rsid w:val="00A70375"/>
    <w:rsid w:val="00A706EF"/>
    <w:rsid w:val="00A708B1"/>
    <w:rsid w:val="00A7186C"/>
    <w:rsid w:val="00A71A48"/>
    <w:rsid w:val="00A737D5"/>
    <w:rsid w:val="00A77166"/>
    <w:rsid w:val="00A77ECD"/>
    <w:rsid w:val="00A801FD"/>
    <w:rsid w:val="00A80766"/>
    <w:rsid w:val="00A8102E"/>
    <w:rsid w:val="00A81321"/>
    <w:rsid w:val="00A813FA"/>
    <w:rsid w:val="00A81BD2"/>
    <w:rsid w:val="00A83A32"/>
    <w:rsid w:val="00A84D74"/>
    <w:rsid w:val="00A8665B"/>
    <w:rsid w:val="00A8669A"/>
    <w:rsid w:val="00A90AB1"/>
    <w:rsid w:val="00A90CEC"/>
    <w:rsid w:val="00A91FDA"/>
    <w:rsid w:val="00A932E3"/>
    <w:rsid w:val="00A955F7"/>
    <w:rsid w:val="00A95662"/>
    <w:rsid w:val="00A971CC"/>
    <w:rsid w:val="00A9775E"/>
    <w:rsid w:val="00A97971"/>
    <w:rsid w:val="00AA09BE"/>
    <w:rsid w:val="00AA1162"/>
    <w:rsid w:val="00AA141F"/>
    <w:rsid w:val="00AA17CE"/>
    <w:rsid w:val="00AA20D6"/>
    <w:rsid w:val="00AA291A"/>
    <w:rsid w:val="00AA318C"/>
    <w:rsid w:val="00AA3C34"/>
    <w:rsid w:val="00AA55E9"/>
    <w:rsid w:val="00AA6214"/>
    <w:rsid w:val="00AA6CCF"/>
    <w:rsid w:val="00AA6FB1"/>
    <w:rsid w:val="00AB00C4"/>
    <w:rsid w:val="00AB0701"/>
    <w:rsid w:val="00AB215E"/>
    <w:rsid w:val="00AB270E"/>
    <w:rsid w:val="00AB2B62"/>
    <w:rsid w:val="00AB2EE0"/>
    <w:rsid w:val="00AB41D1"/>
    <w:rsid w:val="00AB4860"/>
    <w:rsid w:val="00AB53F2"/>
    <w:rsid w:val="00AB5E7A"/>
    <w:rsid w:val="00AB6076"/>
    <w:rsid w:val="00AC3268"/>
    <w:rsid w:val="00AC4265"/>
    <w:rsid w:val="00AC5C54"/>
    <w:rsid w:val="00AC654B"/>
    <w:rsid w:val="00AC7399"/>
    <w:rsid w:val="00AD0E39"/>
    <w:rsid w:val="00AD1795"/>
    <w:rsid w:val="00AD1C21"/>
    <w:rsid w:val="00AD3E1F"/>
    <w:rsid w:val="00AD4799"/>
    <w:rsid w:val="00AD4C46"/>
    <w:rsid w:val="00AD6251"/>
    <w:rsid w:val="00AD66A6"/>
    <w:rsid w:val="00AD681A"/>
    <w:rsid w:val="00AE0004"/>
    <w:rsid w:val="00AE01E0"/>
    <w:rsid w:val="00AE045B"/>
    <w:rsid w:val="00AE12E0"/>
    <w:rsid w:val="00AE19EE"/>
    <w:rsid w:val="00AE2030"/>
    <w:rsid w:val="00AE2541"/>
    <w:rsid w:val="00AE4CFF"/>
    <w:rsid w:val="00AE6125"/>
    <w:rsid w:val="00AE69EB"/>
    <w:rsid w:val="00AE7380"/>
    <w:rsid w:val="00AF0153"/>
    <w:rsid w:val="00AF1476"/>
    <w:rsid w:val="00AF1F15"/>
    <w:rsid w:val="00AF281B"/>
    <w:rsid w:val="00AF3541"/>
    <w:rsid w:val="00AF448F"/>
    <w:rsid w:val="00AF46EC"/>
    <w:rsid w:val="00AF6821"/>
    <w:rsid w:val="00AF72C4"/>
    <w:rsid w:val="00B00928"/>
    <w:rsid w:val="00B0184D"/>
    <w:rsid w:val="00B01BBA"/>
    <w:rsid w:val="00B037B0"/>
    <w:rsid w:val="00B0472A"/>
    <w:rsid w:val="00B05E79"/>
    <w:rsid w:val="00B0686D"/>
    <w:rsid w:val="00B07DA9"/>
    <w:rsid w:val="00B1019E"/>
    <w:rsid w:val="00B114D0"/>
    <w:rsid w:val="00B11524"/>
    <w:rsid w:val="00B1188B"/>
    <w:rsid w:val="00B13A68"/>
    <w:rsid w:val="00B142E4"/>
    <w:rsid w:val="00B15508"/>
    <w:rsid w:val="00B15699"/>
    <w:rsid w:val="00B1588C"/>
    <w:rsid w:val="00B1625B"/>
    <w:rsid w:val="00B1677B"/>
    <w:rsid w:val="00B16997"/>
    <w:rsid w:val="00B16CD3"/>
    <w:rsid w:val="00B174E0"/>
    <w:rsid w:val="00B1770F"/>
    <w:rsid w:val="00B179F5"/>
    <w:rsid w:val="00B17D83"/>
    <w:rsid w:val="00B215BB"/>
    <w:rsid w:val="00B21747"/>
    <w:rsid w:val="00B24289"/>
    <w:rsid w:val="00B2438C"/>
    <w:rsid w:val="00B2682A"/>
    <w:rsid w:val="00B300DC"/>
    <w:rsid w:val="00B302BA"/>
    <w:rsid w:val="00B3077C"/>
    <w:rsid w:val="00B30811"/>
    <w:rsid w:val="00B34AE7"/>
    <w:rsid w:val="00B35891"/>
    <w:rsid w:val="00B35FAD"/>
    <w:rsid w:val="00B3684E"/>
    <w:rsid w:val="00B37AF2"/>
    <w:rsid w:val="00B40046"/>
    <w:rsid w:val="00B406A2"/>
    <w:rsid w:val="00B40CB6"/>
    <w:rsid w:val="00B413D4"/>
    <w:rsid w:val="00B41AF0"/>
    <w:rsid w:val="00B423F2"/>
    <w:rsid w:val="00B42908"/>
    <w:rsid w:val="00B42C38"/>
    <w:rsid w:val="00B42FDF"/>
    <w:rsid w:val="00B45201"/>
    <w:rsid w:val="00B4581B"/>
    <w:rsid w:val="00B45DBB"/>
    <w:rsid w:val="00B46CF0"/>
    <w:rsid w:val="00B47D7A"/>
    <w:rsid w:val="00B52495"/>
    <w:rsid w:val="00B53798"/>
    <w:rsid w:val="00B543E1"/>
    <w:rsid w:val="00B55CB8"/>
    <w:rsid w:val="00B55F11"/>
    <w:rsid w:val="00B56D78"/>
    <w:rsid w:val="00B57520"/>
    <w:rsid w:val="00B5767B"/>
    <w:rsid w:val="00B577CD"/>
    <w:rsid w:val="00B57F43"/>
    <w:rsid w:val="00B611C7"/>
    <w:rsid w:val="00B6240C"/>
    <w:rsid w:val="00B624F1"/>
    <w:rsid w:val="00B6555C"/>
    <w:rsid w:val="00B713FB"/>
    <w:rsid w:val="00B727C5"/>
    <w:rsid w:val="00B72833"/>
    <w:rsid w:val="00B73737"/>
    <w:rsid w:val="00B73B3C"/>
    <w:rsid w:val="00B73F95"/>
    <w:rsid w:val="00B746DE"/>
    <w:rsid w:val="00B74835"/>
    <w:rsid w:val="00B74E1F"/>
    <w:rsid w:val="00B752E3"/>
    <w:rsid w:val="00B775C5"/>
    <w:rsid w:val="00B81035"/>
    <w:rsid w:val="00B81458"/>
    <w:rsid w:val="00B81802"/>
    <w:rsid w:val="00B822D5"/>
    <w:rsid w:val="00B826AA"/>
    <w:rsid w:val="00B82CC6"/>
    <w:rsid w:val="00B831CB"/>
    <w:rsid w:val="00B83C56"/>
    <w:rsid w:val="00B83DBC"/>
    <w:rsid w:val="00B86B54"/>
    <w:rsid w:val="00B876D7"/>
    <w:rsid w:val="00B87CCA"/>
    <w:rsid w:val="00B91036"/>
    <w:rsid w:val="00B91E39"/>
    <w:rsid w:val="00B92FCB"/>
    <w:rsid w:val="00B93361"/>
    <w:rsid w:val="00B963CB"/>
    <w:rsid w:val="00BA036B"/>
    <w:rsid w:val="00BA04D7"/>
    <w:rsid w:val="00BA0925"/>
    <w:rsid w:val="00BA0DF4"/>
    <w:rsid w:val="00BA157A"/>
    <w:rsid w:val="00BA2BC9"/>
    <w:rsid w:val="00BA37EB"/>
    <w:rsid w:val="00BA3A68"/>
    <w:rsid w:val="00BA652E"/>
    <w:rsid w:val="00BA748F"/>
    <w:rsid w:val="00BB06DE"/>
    <w:rsid w:val="00BB206A"/>
    <w:rsid w:val="00BB3646"/>
    <w:rsid w:val="00BB3E03"/>
    <w:rsid w:val="00BB4081"/>
    <w:rsid w:val="00BB571E"/>
    <w:rsid w:val="00BB6CA5"/>
    <w:rsid w:val="00BC1060"/>
    <w:rsid w:val="00BC16F5"/>
    <w:rsid w:val="00BC2B95"/>
    <w:rsid w:val="00BC41C9"/>
    <w:rsid w:val="00BC4A66"/>
    <w:rsid w:val="00BC4E0E"/>
    <w:rsid w:val="00BC59E7"/>
    <w:rsid w:val="00BC5EE7"/>
    <w:rsid w:val="00BC76DF"/>
    <w:rsid w:val="00BD0D30"/>
    <w:rsid w:val="00BD1ED4"/>
    <w:rsid w:val="00BD226D"/>
    <w:rsid w:val="00BD2F21"/>
    <w:rsid w:val="00BD3DAB"/>
    <w:rsid w:val="00BD4428"/>
    <w:rsid w:val="00BD50BF"/>
    <w:rsid w:val="00BD5D63"/>
    <w:rsid w:val="00BD7998"/>
    <w:rsid w:val="00BE0103"/>
    <w:rsid w:val="00BE0E68"/>
    <w:rsid w:val="00BE15E4"/>
    <w:rsid w:val="00BE19E8"/>
    <w:rsid w:val="00BE2CA8"/>
    <w:rsid w:val="00BE6AF3"/>
    <w:rsid w:val="00BE6E94"/>
    <w:rsid w:val="00BE7500"/>
    <w:rsid w:val="00BE7DF9"/>
    <w:rsid w:val="00BF0074"/>
    <w:rsid w:val="00BF361B"/>
    <w:rsid w:val="00BF3D2B"/>
    <w:rsid w:val="00BF475F"/>
    <w:rsid w:val="00BF649D"/>
    <w:rsid w:val="00BF6822"/>
    <w:rsid w:val="00BF7822"/>
    <w:rsid w:val="00C01182"/>
    <w:rsid w:val="00C018BD"/>
    <w:rsid w:val="00C0287A"/>
    <w:rsid w:val="00C02ED4"/>
    <w:rsid w:val="00C05B9C"/>
    <w:rsid w:val="00C05C54"/>
    <w:rsid w:val="00C05F76"/>
    <w:rsid w:val="00C061E6"/>
    <w:rsid w:val="00C06B7F"/>
    <w:rsid w:val="00C1084D"/>
    <w:rsid w:val="00C10DA1"/>
    <w:rsid w:val="00C12009"/>
    <w:rsid w:val="00C136C0"/>
    <w:rsid w:val="00C1535C"/>
    <w:rsid w:val="00C15F13"/>
    <w:rsid w:val="00C1720C"/>
    <w:rsid w:val="00C20084"/>
    <w:rsid w:val="00C20DD0"/>
    <w:rsid w:val="00C20E7D"/>
    <w:rsid w:val="00C21AE8"/>
    <w:rsid w:val="00C21B8C"/>
    <w:rsid w:val="00C21FE2"/>
    <w:rsid w:val="00C248C9"/>
    <w:rsid w:val="00C256E0"/>
    <w:rsid w:val="00C265C9"/>
    <w:rsid w:val="00C26B18"/>
    <w:rsid w:val="00C309DB"/>
    <w:rsid w:val="00C32104"/>
    <w:rsid w:val="00C34095"/>
    <w:rsid w:val="00C34D2C"/>
    <w:rsid w:val="00C35955"/>
    <w:rsid w:val="00C35C90"/>
    <w:rsid w:val="00C364E0"/>
    <w:rsid w:val="00C368EA"/>
    <w:rsid w:val="00C36C4D"/>
    <w:rsid w:val="00C36E3B"/>
    <w:rsid w:val="00C372D9"/>
    <w:rsid w:val="00C37F40"/>
    <w:rsid w:val="00C41F73"/>
    <w:rsid w:val="00C436C1"/>
    <w:rsid w:val="00C43A2D"/>
    <w:rsid w:val="00C43AE3"/>
    <w:rsid w:val="00C4493E"/>
    <w:rsid w:val="00C45293"/>
    <w:rsid w:val="00C45ADA"/>
    <w:rsid w:val="00C46A01"/>
    <w:rsid w:val="00C5221E"/>
    <w:rsid w:val="00C52830"/>
    <w:rsid w:val="00C53125"/>
    <w:rsid w:val="00C54DBD"/>
    <w:rsid w:val="00C60107"/>
    <w:rsid w:val="00C60275"/>
    <w:rsid w:val="00C615DC"/>
    <w:rsid w:val="00C62EB4"/>
    <w:rsid w:val="00C6301A"/>
    <w:rsid w:val="00C64038"/>
    <w:rsid w:val="00C64BB3"/>
    <w:rsid w:val="00C6568F"/>
    <w:rsid w:val="00C6577D"/>
    <w:rsid w:val="00C66C5B"/>
    <w:rsid w:val="00C6798A"/>
    <w:rsid w:val="00C708C6"/>
    <w:rsid w:val="00C727AA"/>
    <w:rsid w:val="00C73597"/>
    <w:rsid w:val="00C74810"/>
    <w:rsid w:val="00C7496F"/>
    <w:rsid w:val="00C74CA2"/>
    <w:rsid w:val="00C76332"/>
    <w:rsid w:val="00C76425"/>
    <w:rsid w:val="00C7685E"/>
    <w:rsid w:val="00C8052B"/>
    <w:rsid w:val="00C8068C"/>
    <w:rsid w:val="00C818D9"/>
    <w:rsid w:val="00C821BE"/>
    <w:rsid w:val="00C8266A"/>
    <w:rsid w:val="00C84CC1"/>
    <w:rsid w:val="00C85D83"/>
    <w:rsid w:val="00C85E9E"/>
    <w:rsid w:val="00C86908"/>
    <w:rsid w:val="00C908E9"/>
    <w:rsid w:val="00C920E6"/>
    <w:rsid w:val="00C92BBB"/>
    <w:rsid w:val="00C93144"/>
    <w:rsid w:val="00C95142"/>
    <w:rsid w:val="00C96240"/>
    <w:rsid w:val="00C96EE5"/>
    <w:rsid w:val="00CA1995"/>
    <w:rsid w:val="00CA1DE2"/>
    <w:rsid w:val="00CA3FBB"/>
    <w:rsid w:val="00CA416E"/>
    <w:rsid w:val="00CA4572"/>
    <w:rsid w:val="00CA4708"/>
    <w:rsid w:val="00CA4CEE"/>
    <w:rsid w:val="00CA64A3"/>
    <w:rsid w:val="00CA6E14"/>
    <w:rsid w:val="00CB2A80"/>
    <w:rsid w:val="00CB32FA"/>
    <w:rsid w:val="00CB4BCF"/>
    <w:rsid w:val="00CB547F"/>
    <w:rsid w:val="00CB6719"/>
    <w:rsid w:val="00CB6DE2"/>
    <w:rsid w:val="00CB755F"/>
    <w:rsid w:val="00CC2FAE"/>
    <w:rsid w:val="00CC30BC"/>
    <w:rsid w:val="00CC4590"/>
    <w:rsid w:val="00CC705D"/>
    <w:rsid w:val="00CC76C6"/>
    <w:rsid w:val="00CD15AC"/>
    <w:rsid w:val="00CD64FA"/>
    <w:rsid w:val="00CD6A0F"/>
    <w:rsid w:val="00CD7E68"/>
    <w:rsid w:val="00CE0C8A"/>
    <w:rsid w:val="00CE2053"/>
    <w:rsid w:val="00CE3B6E"/>
    <w:rsid w:val="00CE4A62"/>
    <w:rsid w:val="00CE5127"/>
    <w:rsid w:val="00CE5951"/>
    <w:rsid w:val="00CE7F07"/>
    <w:rsid w:val="00CE7FAF"/>
    <w:rsid w:val="00CF09AA"/>
    <w:rsid w:val="00CF1748"/>
    <w:rsid w:val="00CF22D7"/>
    <w:rsid w:val="00CF2CBA"/>
    <w:rsid w:val="00CF3ACB"/>
    <w:rsid w:val="00CF411C"/>
    <w:rsid w:val="00CF4161"/>
    <w:rsid w:val="00CF5EFA"/>
    <w:rsid w:val="00CF7123"/>
    <w:rsid w:val="00CF76DC"/>
    <w:rsid w:val="00CF7F7B"/>
    <w:rsid w:val="00D0047A"/>
    <w:rsid w:val="00D0083A"/>
    <w:rsid w:val="00D0174C"/>
    <w:rsid w:val="00D017AA"/>
    <w:rsid w:val="00D02A46"/>
    <w:rsid w:val="00D04A9A"/>
    <w:rsid w:val="00D05C22"/>
    <w:rsid w:val="00D06132"/>
    <w:rsid w:val="00D06169"/>
    <w:rsid w:val="00D1188B"/>
    <w:rsid w:val="00D11B2A"/>
    <w:rsid w:val="00D1213D"/>
    <w:rsid w:val="00D1371F"/>
    <w:rsid w:val="00D138B5"/>
    <w:rsid w:val="00D13DE0"/>
    <w:rsid w:val="00D14634"/>
    <w:rsid w:val="00D17672"/>
    <w:rsid w:val="00D178FD"/>
    <w:rsid w:val="00D17C34"/>
    <w:rsid w:val="00D2186D"/>
    <w:rsid w:val="00D21A33"/>
    <w:rsid w:val="00D21FE7"/>
    <w:rsid w:val="00D22D89"/>
    <w:rsid w:val="00D22EA3"/>
    <w:rsid w:val="00D23339"/>
    <w:rsid w:val="00D241FD"/>
    <w:rsid w:val="00D25246"/>
    <w:rsid w:val="00D263A6"/>
    <w:rsid w:val="00D277BB"/>
    <w:rsid w:val="00D3097D"/>
    <w:rsid w:val="00D3215E"/>
    <w:rsid w:val="00D32707"/>
    <w:rsid w:val="00D32A69"/>
    <w:rsid w:val="00D34E2C"/>
    <w:rsid w:val="00D36CEA"/>
    <w:rsid w:val="00D37D58"/>
    <w:rsid w:val="00D409A6"/>
    <w:rsid w:val="00D42837"/>
    <w:rsid w:val="00D437ED"/>
    <w:rsid w:val="00D4449B"/>
    <w:rsid w:val="00D44EF3"/>
    <w:rsid w:val="00D4527A"/>
    <w:rsid w:val="00D45746"/>
    <w:rsid w:val="00D45A9D"/>
    <w:rsid w:val="00D47C2D"/>
    <w:rsid w:val="00D47CF0"/>
    <w:rsid w:val="00D51685"/>
    <w:rsid w:val="00D51861"/>
    <w:rsid w:val="00D55A4E"/>
    <w:rsid w:val="00D56A1B"/>
    <w:rsid w:val="00D57F9D"/>
    <w:rsid w:val="00D60FEA"/>
    <w:rsid w:val="00D614DE"/>
    <w:rsid w:val="00D61FA7"/>
    <w:rsid w:val="00D6205C"/>
    <w:rsid w:val="00D62B1C"/>
    <w:rsid w:val="00D62C43"/>
    <w:rsid w:val="00D64928"/>
    <w:rsid w:val="00D65426"/>
    <w:rsid w:val="00D70A44"/>
    <w:rsid w:val="00D70B3A"/>
    <w:rsid w:val="00D725D9"/>
    <w:rsid w:val="00D72983"/>
    <w:rsid w:val="00D82A03"/>
    <w:rsid w:val="00D82D11"/>
    <w:rsid w:val="00D8322A"/>
    <w:rsid w:val="00D838A0"/>
    <w:rsid w:val="00D844B0"/>
    <w:rsid w:val="00D85F16"/>
    <w:rsid w:val="00D86B65"/>
    <w:rsid w:val="00D86E6E"/>
    <w:rsid w:val="00D90C88"/>
    <w:rsid w:val="00D92A7F"/>
    <w:rsid w:val="00D93FED"/>
    <w:rsid w:val="00D94621"/>
    <w:rsid w:val="00D96067"/>
    <w:rsid w:val="00D96273"/>
    <w:rsid w:val="00D971CF"/>
    <w:rsid w:val="00D97314"/>
    <w:rsid w:val="00D97C7F"/>
    <w:rsid w:val="00D97D70"/>
    <w:rsid w:val="00D97FFA"/>
    <w:rsid w:val="00DA04AD"/>
    <w:rsid w:val="00DA10EC"/>
    <w:rsid w:val="00DA19C1"/>
    <w:rsid w:val="00DA23C1"/>
    <w:rsid w:val="00DA2741"/>
    <w:rsid w:val="00DA29BF"/>
    <w:rsid w:val="00DA2C35"/>
    <w:rsid w:val="00DA35DE"/>
    <w:rsid w:val="00DA4B27"/>
    <w:rsid w:val="00DA61A0"/>
    <w:rsid w:val="00DA65BE"/>
    <w:rsid w:val="00DB020C"/>
    <w:rsid w:val="00DB10B2"/>
    <w:rsid w:val="00DB1900"/>
    <w:rsid w:val="00DB2EA7"/>
    <w:rsid w:val="00DB4E08"/>
    <w:rsid w:val="00DB4EA9"/>
    <w:rsid w:val="00DB5012"/>
    <w:rsid w:val="00DB53C7"/>
    <w:rsid w:val="00DB6CE5"/>
    <w:rsid w:val="00DB76DD"/>
    <w:rsid w:val="00DC08F7"/>
    <w:rsid w:val="00DC137A"/>
    <w:rsid w:val="00DC139A"/>
    <w:rsid w:val="00DC1478"/>
    <w:rsid w:val="00DC24F2"/>
    <w:rsid w:val="00DC4284"/>
    <w:rsid w:val="00DC447D"/>
    <w:rsid w:val="00DC4521"/>
    <w:rsid w:val="00DC4B2C"/>
    <w:rsid w:val="00DC4E61"/>
    <w:rsid w:val="00DC5A74"/>
    <w:rsid w:val="00DC677F"/>
    <w:rsid w:val="00DC7456"/>
    <w:rsid w:val="00DC7776"/>
    <w:rsid w:val="00DC7CB2"/>
    <w:rsid w:val="00DD1257"/>
    <w:rsid w:val="00DD1B5A"/>
    <w:rsid w:val="00DD2C8B"/>
    <w:rsid w:val="00DD5CB5"/>
    <w:rsid w:val="00DD5F7A"/>
    <w:rsid w:val="00DD7856"/>
    <w:rsid w:val="00DE0700"/>
    <w:rsid w:val="00DE0BAB"/>
    <w:rsid w:val="00DE1A9B"/>
    <w:rsid w:val="00DE3B86"/>
    <w:rsid w:val="00DE3BA7"/>
    <w:rsid w:val="00DE5094"/>
    <w:rsid w:val="00DE5C5E"/>
    <w:rsid w:val="00DE5ECE"/>
    <w:rsid w:val="00DE6DD6"/>
    <w:rsid w:val="00DE7BED"/>
    <w:rsid w:val="00DF0EA2"/>
    <w:rsid w:val="00DF159B"/>
    <w:rsid w:val="00DF22AB"/>
    <w:rsid w:val="00DF2393"/>
    <w:rsid w:val="00DF6B4D"/>
    <w:rsid w:val="00DF6FEC"/>
    <w:rsid w:val="00DF7CE9"/>
    <w:rsid w:val="00E034A8"/>
    <w:rsid w:val="00E03E80"/>
    <w:rsid w:val="00E04EF4"/>
    <w:rsid w:val="00E05226"/>
    <w:rsid w:val="00E05361"/>
    <w:rsid w:val="00E05AF7"/>
    <w:rsid w:val="00E06AFA"/>
    <w:rsid w:val="00E076EA"/>
    <w:rsid w:val="00E10FFA"/>
    <w:rsid w:val="00E118B5"/>
    <w:rsid w:val="00E1360F"/>
    <w:rsid w:val="00E14C10"/>
    <w:rsid w:val="00E14D46"/>
    <w:rsid w:val="00E15643"/>
    <w:rsid w:val="00E15A17"/>
    <w:rsid w:val="00E16790"/>
    <w:rsid w:val="00E174DF"/>
    <w:rsid w:val="00E17A09"/>
    <w:rsid w:val="00E17D46"/>
    <w:rsid w:val="00E209A1"/>
    <w:rsid w:val="00E215A7"/>
    <w:rsid w:val="00E23DE0"/>
    <w:rsid w:val="00E24934"/>
    <w:rsid w:val="00E24C4A"/>
    <w:rsid w:val="00E25E49"/>
    <w:rsid w:val="00E265EE"/>
    <w:rsid w:val="00E26943"/>
    <w:rsid w:val="00E27010"/>
    <w:rsid w:val="00E27633"/>
    <w:rsid w:val="00E27F2F"/>
    <w:rsid w:val="00E34C5C"/>
    <w:rsid w:val="00E350E4"/>
    <w:rsid w:val="00E35762"/>
    <w:rsid w:val="00E35F07"/>
    <w:rsid w:val="00E363CD"/>
    <w:rsid w:val="00E379AC"/>
    <w:rsid w:val="00E405BD"/>
    <w:rsid w:val="00E41BE1"/>
    <w:rsid w:val="00E41C99"/>
    <w:rsid w:val="00E4253F"/>
    <w:rsid w:val="00E42816"/>
    <w:rsid w:val="00E42A08"/>
    <w:rsid w:val="00E43B1E"/>
    <w:rsid w:val="00E444C3"/>
    <w:rsid w:val="00E45317"/>
    <w:rsid w:val="00E45897"/>
    <w:rsid w:val="00E4628E"/>
    <w:rsid w:val="00E46F45"/>
    <w:rsid w:val="00E47E11"/>
    <w:rsid w:val="00E50B44"/>
    <w:rsid w:val="00E515C7"/>
    <w:rsid w:val="00E51A90"/>
    <w:rsid w:val="00E52CD4"/>
    <w:rsid w:val="00E531A3"/>
    <w:rsid w:val="00E53480"/>
    <w:rsid w:val="00E54C86"/>
    <w:rsid w:val="00E552ED"/>
    <w:rsid w:val="00E55824"/>
    <w:rsid w:val="00E55CF1"/>
    <w:rsid w:val="00E56055"/>
    <w:rsid w:val="00E565C8"/>
    <w:rsid w:val="00E57289"/>
    <w:rsid w:val="00E61208"/>
    <w:rsid w:val="00E6389D"/>
    <w:rsid w:val="00E641F9"/>
    <w:rsid w:val="00E64529"/>
    <w:rsid w:val="00E64F58"/>
    <w:rsid w:val="00E65D8D"/>
    <w:rsid w:val="00E7033B"/>
    <w:rsid w:val="00E720DE"/>
    <w:rsid w:val="00E72376"/>
    <w:rsid w:val="00E73469"/>
    <w:rsid w:val="00E73E3C"/>
    <w:rsid w:val="00E74786"/>
    <w:rsid w:val="00E75F07"/>
    <w:rsid w:val="00E75FC8"/>
    <w:rsid w:val="00E76887"/>
    <w:rsid w:val="00E774FD"/>
    <w:rsid w:val="00E8084E"/>
    <w:rsid w:val="00E82005"/>
    <w:rsid w:val="00E82D34"/>
    <w:rsid w:val="00E83546"/>
    <w:rsid w:val="00E83BB3"/>
    <w:rsid w:val="00E85AB0"/>
    <w:rsid w:val="00E9160C"/>
    <w:rsid w:val="00E947C4"/>
    <w:rsid w:val="00E963C5"/>
    <w:rsid w:val="00E97564"/>
    <w:rsid w:val="00E9775A"/>
    <w:rsid w:val="00E97B78"/>
    <w:rsid w:val="00EA07BB"/>
    <w:rsid w:val="00EA07CB"/>
    <w:rsid w:val="00EA11AD"/>
    <w:rsid w:val="00EA20B8"/>
    <w:rsid w:val="00EA23B0"/>
    <w:rsid w:val="00EA2804"/>
    <w:rsid w:val="00EA32E6"/>
    <w:rsid w:val="00EA379E"/>
    <w:rsid w:val="00EA40E1"/>
    <w:rsid w:val="00EA4698"/>
    <w:rsid w:val="00EA56D1"/>
    <w:rsid w:val="00EA5D98"/>
    <w:rsid w:val="00EA6309"/>
    <w:rsid w:val="00EA6F33"/>
    <w:rsid w:val="00EA752B"/>
    <w:rsid w:val="00EA7D12"/>
    <w:rsid w:val="00EB1B0D"/>
    <w:rsid w:val="00EB26A6"/>
    <w:rsid w:val="00EB2DFA"/>
    <w:rsid w:val="00EB3621"/>
    <w:rsid w:val="00EB3799"/>
    <w:rsid w:val="00EB3A0B"/>
    <w:rsid w:val="00EB5237"/>
    <w:rsid w:val="00EB7BFE"/>
    <w:rsid w:val="00EB7F60"/>
    <w:rsid w:val="00EC04A1"/>
    <w:rsid w:val="00EC1972"/>
    <w:rsid w:val="00EC464D"/>
    <w:rsid w:val="00EC4B38"/>
    <w:rsid w:val="00EC6867"/>
    <w:rsid w:val="00EC700C"/>
    <w:rsid w:val="00EC70D9"/>
    <w:rsid w:val="00EC7698"/>
    <w:rsid w:val="00ED080E"/>
    <w:rsid w:val="00ED1514"/>
    <w:rsid w:val="00ED1A7E"/>
    <w:rsid w:val="00ED3A9D"/>
    <w:rsid w:val="00ED523C"/>
    <w:rsid w:val="00ED532F"/>
    <w:rsid w:val="00ED6305"/>
    <w:rsid w:val="00ED718D"/>
    <w:rsid w:val="00EE0BAD"/>
    <w:rsid w:val="00EE2036"/>
    <w:rsid w:val="00EE2A36"/>
    <w:rsid w:val="00EE417D"/>
    <w:rsid w:val="00EE4C6F"/>
    <w:rsid w:val="00EE52CD"/>
    <w:rsid w:val="00EE5D31"/>
    <w:rsid w:val="00EE6125"/>
    <w:rsid w:val="00EE6DCA"/>
    <w:rsid w:val="00EE7808"/>
    <w:rsid w:val="00EE7F4B"/>
    <w:rsid w:val="00EF0108"/>
    <w:rsid w:val="00EF04C6"/>
    <w:rsid w:val="00EF5F19"/>
    <w:rsid w:val="00EF7999"/>
    <w:rsid w:val="00F011A8"/>
    <w:rsid w:val="00F0180E"/>
    <w:rsid w:val="00F01A1C"/>
    <w:rsid w:val="00F0292C"/>
    <w:rsid w:val="00F046CE"/>
    <w:rsid w:val="00F0641F"/>
    <w:rsid w:val="00F07C54"/>
    <w:rsid w:val="00F10863"/>
    <w:rsid w:val="00F1092C"/>
    <w:rsid w:val="00F1142C"/>
    <w:rsid w:val="00F118AD"/>
    <w:rsid w:val="00F13B1C"/>
    <w:rsid w:val="00F13CF6"/>
    <w:rsid w:val="00F1474A"/>
    <w:rsid w:val="00F16497"/>
    <w:rsid w:val="00F166D1"/>
    <w:rsid w:val="00F16C83"/>
    <w:rsid w:val="00F16E3B"/>
    <w:rsid w:val="00F1725A"/>
    <w:rsid w:val="00F215FF"/>
    <w:rsid w:val="00F23655"/>
    <w:rsid w:val="00F249C2"/>
    <w:rsid w:val="00F24F0E"/>
    <w:rsid w:val="00F25462"/>
    <w:rsid w:val="00F25A12"/>
    <w:rsid w:val="00F26D48"/>
    <w:rsid w:val="00F27E93"/>
    <w:rsid w:val="00F31704"/>
    <w:rsid w:val="00F31C84"/>
    <w:rsid w:val="00F321F6"/>
    <w:rsid w:val="00F328EE"/>
    <w:rsid w:val="00F32E48"/>
    <w:rsid w:val="00F33025"/>
    <w:rsid w:val="00F332F8"/>
    <w:rsid w:val="00F3478C"/>
    <w:rsid w:val="00F3583C"/>
    <w:rsid w:val="00F35D57"/>
    <w:rsid w:val="00F3655C"/>
    <w:rsid w:val="00F410A9"/>
    <w:rsid w:val="00F4127F"/>
    <w:rsid w:val="00F426A1"/>
    <w:rsid w:val="00F42DB9"/>
    <w:rsid w:val="00F43549"/>
    <w:rsid w:val="00F45405"/>
    <w:rsid w:val="00F46329"/>
    <w:rsid w:val="00F4678D"/>
    <w:rsid w:val="00F4680B"/>
    <w:rsid w:val="00F47F3D"/>
    <w:rsid w:val="00F50347"/>
    <w:rsid w:val="00F503A0"/>
    <w:rsid w:val="00F50430"/>
    <w:rsid w:val="00F50D77"/>
    <w:rsid w:val="00F5106C"/>
    <w:rsid w:val="00F51DA6"/>
    <w:rsid w:val="00F5255E"/>
    <w:rsid w:val="00F536DE"/>
    <w:rsid w:val="00F55415"/>
    <w:rsid w:val="00F56ABD"/>
    <w:rsid w:val="00F5794F"/>
    <w:rsid w:val="00F6035C"/>
    <w:rsid w:val="00F603D0"/>
    <w:rsid w:val="00F60DF4"/>
    <w:rsid w:val="00F61C4D"/>
    <w:rsid w:val="00F6362B"/>
    <w:rsid w:val="00F63E9C"/>
    <w:rsid w:val="00F6727E"/>
    <w:rsid w:val="00F677BB"/>
    <w:rsid w:val="00F7014D"/>
    <w:rsid w:val="00F706B7"/>
    <w:rsid w:val="00F70DBB"/>
    <w:rsid w:val="00F72317"/>
    <w:rsid w:val="00F72920"/>
    <w:rsid w:val="00F72CA1"/>
    <w:rsid w:val="00F74230"/>
    <w:rsid w:val="00F74A92"/>
    <w:rsid w:val="00F77B56"/>
    <w:rsid w:val="00F80805"/>
    <w:rsid w:val="00F814AA"/>
    <w:rsid w:val="00F814DA"/>
    <w:rsid w:val="00F81AC6"/>
    <w:rsid w:val="00F82CD1"/>
    <w:rsid w:val="00F85429"/>
    <w:rsid w:val="00F8543E"/>
    <w:rsid w:val="00F8637E"/>
    <w:rsid w:val="00F91099"/>
    <w:rsid w:val="00F91B77"/>
    <w:rsid w:val="00F92344"/>
    <w:rsid w:val="00F9308F"/>
    <w:rsid w:val="00F93373"/>
    <w:rsid w:val="00F95028"/>
    <w:rsid w:val="00F955A5"/>
    <w:rsid w:val="00F96030"/>
    <w:rsid w:val="00F966A1"/>
    <w:rsid w:val="00F97497"/>
    <w:rsid w:val="00FA11E3"/>
    <w:rsid w:val="00FA1CC4"/>
    <w:rsid w:val="00FA429F"/>
    <w:rsid w:val="00FA4562"/>
    <w:rsid w:val="00FA4EE9"/>
    <w:rsid w:val="00FA6120"/>
    <w:rsid w:val="00FA6133"/>
    <w:rsid w:val="00FB00D2"/>
    <w:rsid w:val="00FB0390"/>
    <w:rsid w:val="00FB1348"/>
    <w:rsid w:val="00FC1001"/>
    <w:rsid w:val="00FC132D"/>
    <w:rsid w:val="00FC1723"/>
    <w:rsid w:val="00FC33E3"/>
    <w:rsid w:val="00FC35D9"/>
    <w:rsid w:val="00FC36CD"/>
    <w:rsid w:val="00FC3ADC"/>
    <w:rsid w:val="00FC40B5"/>
    <w:rsid w:val="00FC4180"/>
    <w:rsid w:val="00FC48E2"/>
    <w:rsid w:val="00FC4F28"/>
    <w:rsid w:val="00FC5732"/>
    <w:rsid w:val="00FC5D31"/>
    <w:rsid w:val="00FC7B77"/>
    <w:rsid w:val="00FC7BCD"/>
    <w:rsid w:val="00FD003D"/>
    <w:rsid w:val="00FD0669"/>
    <w:rsid w:val="00FD0949"/>
    <w:rsid w:val="00FD103B"/>
    <w:rsid w:val="00FD209E"/>
    <w:rsid w:val="00FD39E0"/>
    <w:rsid w:val="00FD3AD0"/>
    <w:rsid w:val="00FD49D0"/>
    <w:rsid w:val="00FD5C4F"/>
    <w:rsid w:val="00FD70C1"/>
    <w:rsid w:val="00FD7699"/>
    <w:rsid w:val="00FE06CE"/>
    <w:rsid w:val="00FE0890"/>
    <w:rsid w:val="00FE165E"/>
    <w:rsid w:val="00FE1EDB"/>
    <w:rsid w:val="00FE33BD"/>
    <w:rsid w:val="00FE37C9"/>
    <w:rsid w:val="00FE52C5"/>
    <w:rsid w:val="00FE5AE5"/>
    <w:rsid w:val="00FE79C9"/>
    <w:rsid w:val="00FF0480"/>
    <w:rsid w:val="00FF14A1"/>
    <w:rsid w:val="00FF45E6"/>
    <w:rsid w:val="00FF482D"/>
    <w:rsid w:val="00FF485D"/>
    <w:rsid w:val="00FF4C81"/>
    <w:rsid w:val="00FF6B16"/>
    <w:rsid w:val="00FF6C3C"/>
    <w:rsid w:val="00FF75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8593"/>
    <o:shapelayout v:ext="edit">
      <o:idmap v:ext="edit" data="1"/>
    </o:shapelayout>
  </w:shapeDefaults>
  <w:decimalSymbol w:val="."/>
  <w:listSeparator w:val=","/>
  <w14:docId w14:val="63D546A2"/>
  <w15:docId w15:val="{FE441E4A-9A8A-4951-B31B-839D26C9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3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52F1"/>
    <w:pPr>
      <w:spacing w:after="200" w:line="276" w:lineRule="auto"/>
    </w:pPr>
    <w:rPr>
      <w:rFonts w:ascii="Calibri" w:hAnsi="Calibri" w:cs="Arial"/>
      <w:sz w:val="22"/>
      <w:szCs w:val="22"/>
    </w:rPr>
  </w:style>
  <w:style w:type="paragraph" w:styleId="Heading1">
    <w:name w:val="heading 1"/>
    <w:basedOn w:val="Normal"/>
    <w:next w:val="Normal"/>
    <w:link w:val="Heading1Char"/>
    <w:uiPriority w:val="9"/>
    <w:rsid w:val="00AE01E0"/>
    <w:pPr>
      <w:keepNext/>
      <w:keepLines/>
      <w:spacing w:before="480" w:after="0"/>
      <w:outlineLvl w:val="0"/>
    </w:pPr>
    <w:rPr>
      <w:rFonts w:ascii="Cambria" w:hAnsi="Cambria" w:cs="Times New Roman"/>
      <w:b/>
      <w:bCs/>
      <w:color w:val="3F4042"/>
      <w:sz w:val="28"/>
      <w:szCs w:val="28"/>
    </w:rPr>
  </w:style>
  <w:style w:type="paragraph" w:styleId="Heading2">
    <w:name w:val="heading 2"/>
    <w:basedOn w:val="Normal"/>
    <w:next w:val="Normal"/>
    <w:link w:val="Heading2Char"/>
    <w:uiPriority w:val="9"/>
    <w:semiHidden/>
    <w:unhideWhenUsed/>
    <w:rsid w:val="00526C1D"/>
    <w:pPr>
      <w:keepNext/>
      <w:keepLines/>
      <w:spacing w:before="40" w:after="0"/>
      <w:outlineLvl w:val="1"/>
    </w:pPr>
    <w:rPr>
      <w:rFonts w:ascii="Arial" w:eastAsia="MS Gothic" w:hAnsi="Arial" w:cs="Tahoma"/>
      <w:color w:val="7D864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E01E0"/>
    <w:pPr>
      <w:ind w:left="720"/>
      <w:contextualSpacing/>
    </w:pPr>
  </w:style>
  <w:style w:type="paragraph" w:styleId="BalloonText">
    <w:name w:val="Balloon Text"/>
    <w:basedOn w:val="Normal"/>
    <w:link w:val="BalloonTextChar"/>
    <w:uiPriority w:val="99"/>
    <w:semiHidden/>
    <w:unhideWhenUsed/>
    <w:rsid w:val="00641AE4"/>
    <w:pPr>
      <w:spacing w:after="0" w:line="240" w:lineRule="auto"/>
    </w:pPr>
    <w:rPr>
      <w:rFonts w:cs="Times New Roman"/>
      <w:sz w:val="16"/>
      <w:szCs w:val="16"/>
      <w:lang w:val="x-none" w:eastAsia="x-none"/>
    </w:rPr>
  </w:style>
  <w:style w:type="character" w:customStyle="1" w:styleId="BalloonTextChar">
    <w:name w:val="Balloon Text Char"/>
    <w:link w:val="BalloonText"/>
    <w:uiPriority w:val="99"/>
    <w:semiHidden/>
    <w:rsid w:val="00641AE4"/>
    <w:rPr>
      <w:rFonts w:ascii="Tahoma" w:hAnsi="Tahoma" w:cs="Tahoma"/>
      <w:sz w:val="16"/>
      <w:szCs w:val="16"/>
    </w:rPr>
  </w:style>
  <w:style w:type="paragraph" w:styleId="Header">
    <w:name w:val="header"/>
    <w:basedOn w:val="Normal"/>
    <w:link w:val="HeaderChar"/>
    <w:uiPriority w:val="99"/>
    <w:unhideWhenUsed/>
    <w:rsid w:val="00B2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289"/>
  </w:style>
  <w:style w:type="paragraph" w:styleId="Footer">
    <w:name w:val="footer"/>
    <w:basedOn w:val="Normal"/>
    <w:link w:val="FooterChar"/>
    <w:uiPriority w:val="99"/>
    <w:unhideWhenUsed/>
    <w:rsid w:val="00B2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289"/>
  </w:style>
  <w:style w:type="paragraph" w:styleId="NoSpacing">
    <w:name w:val="No Spacing"/>
    <w:uiPriority w:val="1"/>
    <w:rsid w:val="00AE01E0"/>
    <w:pPr>
      <w:bidi/>
      <w:spacing w:after="120" w:line="360" w:lineRule="auto"/>
    </w:pPr>
    <w:rPr>
      <w:sz w:val="22"/>
      <w:szCs w:val="22"/>
    </w:rPr>
  </w:style>
  <w:style w:type="character" w:customStyle="1" w:styleId="Heading1Char">
    <w:name w:val="Heading 1 Char"/>
    <w:link w:val="Heading1"/>
    <w:uiPriority w:val="9"/>
    <w:rsid w:val="00AE01E0"/>
    <w:rPr>
      <w:rFonts w:ascii="Cambria" w:hAnsi="Cambria" w:cs="Times New Roman"/>
      <w:b/>
      <w:bCs/>
      <w:color w:val="3F4042"/>
      <w:sz w:val="28"/>
      <w:szCs w:val="28"/>
    </w:rPr>
  </w:style>
  <w:style w:type="character" w:styleId="CommentReference">
    <w:name w:val="annotation reference"/>
    <w:uiPriority w:val="99"/>
    <w:semiHidden/>
    <w:unhideWhenUsed/>
    <w:rsid w:val="00A77166"/>
    <w:rPr>
      <w:sz w:val="16"/>
      <w:szCs w:val="16"/>
    </w:rPr>
  </w:style>
  <w:style w:type="paragraph" w:styleId="CommentText">
    <w:name w:val="annotation text"/>
    <w:basedOn w:val="Normal"/>
    <w:link w:val="CommentTextChar"/>
    <w:uiPriority w:val="99"/>
    <w:semiHidden/>
    <w:unhideWhenUsed/>
    <w:rsid w:val="00A77166"/>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A77166"/>
    <w:rPr>
      <w:sz w:val="20"/>
      <w:szCs w:val="20"/>
    </w:rPr>
  </w:style>
  <w:style w:type="paragraph" w:styleId="CommentSubject">
    <w:name w:val="annotation subject"/>
    <w:basedOn w:val="CommentText"/>
    <w:next w:val="CommentText"/>
    <w:link w:val="CommentSubjectChar"/>
    <w:uiPriority w:val="99"/>
    <w:semiHidden/>
    <w:unhideWhenUsed/>
    <w:rsid w:val="00A77166"/>
    <w:rPr>
      <w:b/>
      <w:bCs/>
    </w:rPr>
  </w:style>
  <w:style w:type="character" w:customStyle="1" w:styleId="CommentSubjectChar">
    <w:name w:val="Comment Subject Char"/>
    <w:link w:val="CommentSubject"/>
    <w:uiPriority w:val="99"/>
    <w:semiHidden/>
    <w:rsid w:val="00A77166"/>
    <w:rPr>
      <w:b/>
      <w:bCs/>
      <w:sz w:val="20"/>
      <w:szCs w:val="20"/>
    </w:rPr>
  </w:style>
  <w:style w:type="paragraph" w:styleId="Revision">
    <w:name w:val="Revision"/>
    <w:hidden/>
    <w:uiPriority w:val="99"/>
    <w:semiHidden/>
    <w:rsid w:val="005C0431"/>
    <w:pPr>
      <w:spacing w:after="120" w:line="360" w:lineRule="auto"/>
    </w:pPr>
    <w:rPr>
      <w:sz w:val="22"/>
      <w:szCs w:val="22"/>
    </w:rPr>
  </w:style>
  <w:style w:type="character" w:customStyle="1" w:styleId="longtext">
    <w:name w:val="long_text"/>
    <w:basedOn w:val="DefaultParagraphFont"/>
    <w:rsid w:val="00681E02"/>
  </w:style>
  <w:style w:type="table" w:styleId="TableGrid">
    <w:name w:val="Table Grid"/>
    <w:basedOn w:val="TableNormal"/>
    <w:uiPriority w:val="39"/>
    <w:rsid w:val="0078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C2C7D"/>
    <w:rPr>
      <w:color w:val="0000FF"/>
      <w:u w:val="single"/>
    </w:rPr>
  </w:style>
  <w:style w:type="paragraph" w:customStyle="1" w:styleId="SCADEconomy">
    <w:name w:val="SCAD Economy"/>
    <w:basedOn w:val="Normal"/>
    <w:link w:val="SCADEconomyChar"/>
    <w:rsid w:val="00C53125"/>
    <w:pPr>
      <w:bidi/>
      <w:spacing w:line="240" w:lineRule="auto"/>
    </w:pPr>
    <w:rPr>
      <w:b/>
      <w:bCs/>
      <w:color w:val="AB940D"/>
      <w:sz w:val="32"/>
      <w:szCs w:val="32"/>
      <w:lang w:val="en-GB"/>
    </w:rPr>
  </w:style>
  <w:style w:type="paragraph" w:customStyle="1" w:styleId="EnvHeading1">
    <w:name w:val="Env Heading 1"/>
    <w:basedOn w:val="Heading1"/>
    <w:link w:val="EnvHeading1Char"/>
    <w:rsid w:val="008A70AF"/>
    <w:rPr>
      <w:rFonts w:ascii="Arial" w:hAnsi="Arial" w:cs="Tahoma"/>
      <w:color w:val="308C6B"/>
      <w:sz w:val="32"/>
      <w:szCs w:val="32"/>
      <w:lang w:val="en-GB"/>
    </w:rPr>
  </w:style>
  <w:style w:type="character" w:customStyle="1" w:styleId="SCADEconomyChar">
    <w:name w:val="SCAD Economy Char"/>
    <w:link w:val="SCADEconomy"/>
    <w:rsid w:val="00C53125"/>
    <w:rPr>
      <w:rFonts w:ascii="Tahoma" w:hAnsi="Tahoma" w:cs="Tahoma"/>
      <w:b/>
      <w:bCs/>
      <w:color w:val="AB940D"/>
      <w:sz w:val="32"/>
      <w:szCs w:val="32"/>
      <w:lang w:val="en-GB"/>
    </w:rPr>
  </w:style>
  <w:style w:type="paragraph" w:customStyle="1" w:styleId="EnvHeading2">
    <w:name w:val="Env Heading 2"/>
    <w:basedOn w:val="Heading2"/>
    <w:link w:val="EnvHeading2Char"/>
    <w:rsid w:val="008A70AF"/>
    <w:pPr>
      <w:bidi/>
      <w:spacing w:before="120" w:after="120" w:line="240" w:lineRule="auto"/>
    </w:pPr>
    <w:rPr>
      <w:rFonts w:eastAsia="Tahoma"/>
      <w:color w:val="ABABAB"/>
      <w:sz w:val="28"/>
      <w:szCs w:val="28"/>
      <w:lang w:eastAsia="x-none"/>
    </w:rPr>
  </w:style>
  <w:style w:type="character" w:customStyle="1" w:styleId="EnvHeading1Char">
    <w:name w:val="Env Heading 1 Char"/>
    <w:link w:val="EnvHeading1"/>
    <w:rsid w:val="008A70AF"/>
    <w:rPr>
      <w:rFonts w:ascii="Arial" w:hAnsi="Arial" w:cs="Tahoma"/>
      <w:b/>
      <w:bCs/>
      <w:color w:val="308C6B"/>
      <w:sz w:val="32"/>
      <w:szCs w:val="32"/>
      <w:lang w:val="en-GB"/>
    </w:rPr>
  </w:style>
  <w:style w:type="paragraph" w:customStyle="1" w:styleId="EnvNormal">
    <w:name w:val="Env Normal"/>
    <w:basedOn w:val="EcNormal"/>
    <w:link w:val="EnvNormalChar"/>
    <w:rsid w:val="00527466"/>
    <w:pPr>
      <w:jc w:val="both"/>
    </w:pPr>
  </w:style>
  <w:style w:type="character" w:customStyle="1" w:styleId="EnvHeading2Char">
    <w:name w:val="Env Heading 2 Char"/>
    <w:link w:val="EnvHeading2"/>
    <w:rsid w:val="008A70AF"/>
    <w:rPr>
      <w:rFonts w:ascii="Arial" w:eastAsia="Tahoma" w:hAnsi="Arial" w:cs="Tahoma"/>
      <w:b w:val="0"/>
      <w:bCs w:val="0"/>
      <w:color w:val="ABABAB"/>
      <w:sz w:val="28"/>
      <w:szCs w:val="28"/>
      <w:lang w:eastAsia="x-none"/>
    </w:rPr>
  </w:style>
  <w:style w:type="paragraph" w:customStyle="1" w:styleId="EnvTableChartTitle">
    <w:name w:val="Env Table/Chart Title"/>
    <w:link w:val="EnvTableChartTitleChar"/>
    <w:rsid w:val="00DA65BE"/>
    <w:pPr>
      <w:bidi/>
      <w:spacing w:before="120" w:after="120" w:line="360" w:lineRule="auto"/>
    </w:pPr>
    <w:rPr>
      <w:rFonts w:ascii="Arial" w:eastAsia="Tahoma" w:hAnsi="Arial" w:cs="Times New Roman"/>
      <w:b/>
      <w:bCs/>
      <w:color w:val="ABABAB"/>
      <w:sz w:val="24"/>
      <w:szCs w:val="24"/>
      <w:lang w:bidi="ar-AE"/>
    </w:rPr>
  </w:style>
  <w:style w:type="character" w:customStyle="1" w:styleId="EnvNormalChar">
    <w:name w:val="Env Normal Char"/>
    <w:link w:val="EnvNormal"/>
    <w:rsid w:val="00527466"/>
    <w:rPr>
      <w:rFonts w:ascii="Arial" w:hAnsi="Arial"/>
      <w:color w:val="929292"/>
      <w:sz w:val="20"/>
      <w:szCs w:val="20"/>
    </w:rPr>
  </w:style>
  <w:style w:type="paragraph" w:customStyle="1" w:styleId="EnvTableChartSubtitle">
    <w:name w:val="Env Table/Chart Subtitle"/>
    <w:basedOn w:val="Normal"/>
    <w:link w:val="EnvTableChartSubtitleChar"/>
    <w:rsid w:val="008A70AF"/>
    <w:pPr>
      <w:spacing w:after="0"/>
      <w:jc w:val="right"/>
    </w:pPr>
    <w:rPr>
      <w:rFonts w:ascii="Arial" w:hAnsi="Arial"/>
      <w:color w:val="808080"/>
      <w:sz w:val="18"/>
      <w:szCs w:val="18"/>
      <w:lang w:bidi="ar-AE"/>
    </w:rPr>
  </w:style>
  <w:style w:type="character" w:customStyle="1" w:styleId="EnvTableChartTitleChar">
    <w:name w:val="Env Table/Chart Title Char"/>
    <w:link w:val="EnvTableChartTitle"/>
    <w:rsid w:val="00DA65BE"/>
    <w:rPr>
      <w:rFonts w:ascii="Arial" w:eastAsia="Tahoma" w:hAnsi="Arial" w:cs="Times New Roman"/>
      <w:b/>
      <w:bCs/>
      <w:color w:val="ABABAB"/>
      <w:sz w:val="24"/>
      <w:szCs w:val="24"/>
      <w:lang w:val="x-none" w:eastAsia="x-none" w:bidi="ar-AE"/>
    </w:rPr>
  </w:style>
  <w:style w:type="paragraph" w:customStyle="1" w:styleId="EnvSourceNote">
    <w:name w:val="Env Source Note"/>
    <w:basedOn w:val="Normal"/>
    <w:link w:val="EnvSourceNoteChar"/>
    <w:rsid w:val="008A70AF"/>
    <w:pPr>
      <w:bidi/>
      <w:spacing w:after="0" w:line="240" w:lineRule="auto"/>
    </w:pPr>
    <w:rPr>
      <w:rFonts w:ascii="Arial" w:hAnsi="Arial"/>
      <w:color w:val="C00000"/>
      <w:sz w:val="18"/>
      <w:szCs w:val="18"/>
      <w:lang w:val="en-GB" w:eastAsia="en-GB"/>
    </w:rPr>
  </w:style>
  <w:style w:type="character" w:customStyle="1" w:styleId="EnvTableChartSubtitleChar">
    <w:name w:val="Env Table/Chart Subtitle Char"/>
    <w:link w:val="EnvTableChartSubtitle"/>
    <w:rsid w:val="008A70AF"/>
    <w:rPr>
      <w:rFonts w:ascii="Arial" w:hAnsi="Arial"/>
      <w:color w:val="808080"/>
      <w:sz w:val="18"/>
      <w:szCs w:val="18"/>
      <w:lang w:bidi="ar-AE"/>
    </w:rPr>
  </w:style>
  <w:style w:type="paragraph" w:customStyle="1" w:styleId="EnvBulleting">
    <w:name w:val="Env Bulleting"/>
    <w:basedOn w:val="Normal"/>
    <w:link w:val="EnvBulletingChar"/>
    <w:rsid w:val="00DA65BE"/>
    <w:pPr>
      <w:numPr>
        <w:numId w:val="15"/>
      </w:numPr>
      <w:autoSpaceDE w:val="0"/>
      <w:autoSpaceDN w:val="0"/>
      <w:bidi/>
      <w:adjustRightInd w:val="0"/>
    </w:pPr>
    <w:rPr>
      <w:rFonts w:ascii="Arial" w:hAnsi="Arial"/>
      <w:color w:val="929292"/>
      <w:sz w:val="20"/>
      <w:szCs w:val="20"/>
    </w:rPr>
  </w:style>
  <w:style w:type="character" w:customStyle="1" w:styleId="EnvSourceNoteChar">
    <w:name w:val="Env Source Note Char"/>
    <w:link w:val="EnvSourceNote"/>
    <w:rsid w:val="008A70AF"/>
    <w:rPr>
      <w:rFonts w:ascii="Arial" w:hAnsi="Arial"/>
      <w:color w:val="C00000"/>
      <w:sz w:val="18"/>
      <w:szCs w:val="18"/>
      <w:lang w:val="en-GB" w:eastAsia="en-GB"/>
    </w:rPr>
  </w:style>
  <w:style w:type="paragraph" w:customStyle="1" w:styleId="EnvInfo">
    <w:name w:val="Env Info"/>
    <w:basedOn w:val="Normal"/>
    <w:link w:val="EnvInfoChar"/>
    <w:rsid w:val="008A70AF"/>
    <w:pPr>
      <w:autoSpaceDE w:val="0"/>
      <w:autoSpaceDN w:val="0"/>
      <w:bidi/>
      <w:adjustRightInd w:val="0"/>
      <w:spacing w:before="120"/>
    </w:pPr>
    <w:rPr>
      <w:rFonts w:ascii="Arial" w:hAnsi="Arial"/>
      <w:color w:val="ABABAB"/>
    </w:rPr>
  </w:style>
  <w:style w:type="character" w:customStyle="1" w:styleId="EnvBulletingChar">
    <w:name w:val="Env Bulleting Char"/>
    <w:link w:val="EnvBulleting"/>
    <w:rsid w:val="00DA65BE"/>
    <w:rPr>
      <w:rFonts w:ascii="Arial" w:hAnsi="Arial"/>
      <w:color w:val="929292"/>
      <w:sz w:val="20"/>
      <w:szCs w:val="20"/>
    </w:rPr>
  </w:style>
  <w:style w:type="paragraph" w:customStyle="1" w:styleId="EnvHyperlink">
    <w:name w:val="Env_Hyperlink"/>
    <w:link w:val="EnvHyperlinkChar"/>
    <w:autoRedefine/>
    <w:rsid w:val="006005DF"/>
    <w:pPr>
      <w:spacing w:after="120" w:line="360" w:lineRule="auto"/>
    </w:pPr>
    <w:rPr>
      <w:rFonts w:ascii="Arial" w:hAnsi="Arial"/>
      <w:i/>
      <w:iCs/>
      <w:color w:val="A2AC72"/>
      <w:u w:val="single"/>
    </w:rPr>
  </w:style>
  <w:style w:type="character" w:customStyle="1" w:styleId="EnvInfoChar">
    <w:name w:val="Env Info Char"/>
    <w:link w:val="EnvInfo"/>
    <w:rsid w:val="008A70AF"/>
    <w:rPr>
      <w:rFonts w:ascii="Arial" w:hAnsi="Arial"/>
      <w:color w:val="ABABAB"/>
    </w:rPr>
  </w:style>
  <w:style w:type="paragraph" w:customStyle="1" w:styleId="EnvTableTotal">
    <w:name w:val="Env Table Total"/>
    <w:basedOn w:val="Normal"/>
    <w:link w:val="EnvTableTotalChar"/>
    <w:rsid w:val="008A70AF"/>
    <w:pPr>
      <w:spacing w:after="0" w:line="240" w:lineRule="auto"/>
      <w:jc w:val="right"/>
    </w:pPr>
    <w:rPr>
      <w:rFonts w:ascii="Arial" w:hAnsi="Arial"/>
      <w:b/>
      <w:bCs/>
      <w:color w:val="595959"/>
    </w:rPr>
  </w:style>
  <w:style w:type="character" w:customStyle="1" w:styleId="EnvHyperlinkChar">
    <w:name w:val="Env_Hyperlink Char"/>
    <w:link w:val="EnvHyperlink"/>
    <w:rsid w:val="006005DF"/>
    <w:rPr>
      <w:rFonts w:ascii="Arial" w:hAnsi="Arial"/>
      <w:i/>
      <w:iCs/>
      <w:color w:val="A2AC72"/>
      <w:sz w:val="20"/>
      <w:szCs w:val="20"/>
      <w:u w:val="single"/>
    </w:rPr>
  </w:style>
  <w:style w:type="paragraph" w:customStyle="1" w:styleId="EnvTableBody">
    <w:name w:val="Env Table Body"/>
    <w:basedOn w:val="Normal"/>
    <w:link w:val="EnvTableBodyChar"/>
    <w:rsid w:val="008A70AF"/>
    <w:pPr>
      <w:spacing w:after="0" w:line="240" w:lineRule="auto"/>
      <w:jc w:val="right"/>
    </w:pPr>
    <w:rPr>
      <w:rFonts w:ascii="Arial" w:hAnsi="Arial"/>
      <w:color w:val="595959"/>
      <w:sz w:val="21"/>
      <w:szCs w:val="21"/>
    </w:rPr>
  </w:style>
  <w:style w:type="character" w:customStyle="1" w:styleId="EnvTableTotalChar">
    <w:name w:val="Env Table Total Char"/>
    <w:link w:val="EnvTableTotal"/>
    <w:rsid w:val="008A70AF"/>
    <w:rPr>
      <w:rFonts w:ascii="Arial" w:hAnsi="Arial"/>
      <w:b/>
      <w:bCs/>
      <w:color w:val="595959"/>
    </w:rPr>
  </w:style>
  <w:style w:type="paragraph" w:customStyle="1" w:styleId="EnvTableColumnHeader">
    <w:name w:val="Env Table Column Header"/>
    <w:basedOn w:val="Normal"/>
    <w:link w:val="EnvTableColumnHeaderChar"/>
    <w:rsid w:val="008A70AF"/>
    <w:pPr>
      <w:spacing w:after="0" w:line="240" w:lineRule="auto"/>
      <w:jc w:val="right"/>
    </w:pPr>
    <w:rPr>
      <w:rFonts w:ascii="Arial" w:hAnsi="Arial"/>
      <w:b/>
      <w:bCs/>
      <w:color w:val="FFFFFF"/>
    </w:rPr>
  </w:style>
  <w:style w:type="character" w:customStyle="1" w:styleId="EnvTableBodyChar">
    <w:name w:val="Env Table Body Char"/>
    <w:link w:val="EnvTableBody"/>
    <w:rsid w:val="008A70AF"/>
    <w:rPr>
      <w:rFonts w:ascii="Arial" w:hAnsi="Arial"/>
      <w:color w:val="595959"/>
      <w:sz w:val="21"/>
      <w:szCs w:val="21"/>
    </w:rPr>
  </w:style>
  <w:style w:type="table" w:styleId="GridTable6Colorful-Accent3">
    <w:name w:val="Grid Table 6 Colorful Accent 3"/>
    <w:basedOn w:val="TableNormal"/>
    <w:uiPriority w:val="51"/>
    <w:rsid w:val="00EA20B8"/>
    <w:rPr>
      <w:color w:val="515254"/>
    </w:rPr>
    <w:tblPr>
      <w:tblStyleRowBandSize w:val="1"/>
      <w:tblStyleColBandSize w:val="1"/>
      <w:tblBorders>
        <w:top w:val="single" w:sz="4" w:space="0" w:color="A6A7AA"/>
        <w:left w:val="single" w:sz="4" w:space="0" w:color="A6A7AA"/>
        <w:bottom w:val="single" w:sz="4" w:space="0" w:color="A6A7AA"/>
        <w:right w:val="single" w:sz="4" w:space="0" w:color="A6A7AA"/>
        <w:insideH w:val="single" w:sz="4" w:space="0" w:color="A6A7AA"/>
        <w:insideV w:val="single" w:sz="4" w:space="0" w:color="A6A7AA"/>
      </w:tblBorders>
    </w:tblPr>
    <w:tblStylePr w:type="firstRow">
      <w:rPr>
        <w:b/>
        <w:bCs/>
      </w:rPr>
      <w:tblPr/>
      <w:tcPr>
        <w:tcBorders>
          <w:bottom w:val="single" w:sz="12" w:space="0" w:color="A6A7AA"/>
        </w:tcBorders>
      </w:tcPr>
    </w:tblStylePr>
    <w:tblStylePr w:type="lastRow">
      <w:rPr>
        <w:b/>
        <w:bCs/>
      </w:rPr>
      <w:tblPr/>
      <w:tcPr>
        <w:tcBorders>
          <w:top w:val="double" w:sz="4" w:space="0" w:color="A6A7AA"/>
        </w:tcBorders>
      </w:tcPr>
    </w:tblStylePr>
    <w:tblStylePr w:type="firstCol">
      <w:rPr>
        <w:b/>
        <w:bCs/>
      </w:rPr>
    </w:tblStylePr>
    <w:tblStylePr w:type="lastCol">
      <w:rPr>
        <w:b/>
        <w:bCs/>
      </w:rPr>
    </w:tblStylePr>
    <w:tblStylePr w:type="band1Vert">
      <w:tblPr/>
      <w:tcPr>
        <w:shd w:val="clear" w:color="auto" w:fill="E1E1E2"/>
      </w:tcPr>
    </w:tblStylePr>
    <w:tblStylePr w:type="band1Horz">
      <w:tblPr/>
      <w:tcPr>
        <w:shd w:val="clear" w:color="auto" w:fill="E1E1E2"/>
      </w:tcPr>
    </w:tblStylePr>
  </w:style>
  <w:style w:type="character" w:customStyle="1" w:styleId="EnvTableColumnHeaderChar">
    <w:name w:val="Env Table Column Header Char"/>
    <w:link w:val="EnvTableColumnHeader"/>
    <w:rsid w:val="008A70AF"/>
    <w:rPr>
      <w:rFonts w:ascii="Arial" w:hAnsi="Arial"/>
      <w:b/>
      <w:bCs/>
      <w:color w:val="FFFFFF"/>
    </w:rPr>
  </w:style>
  <w:style w:type="table" w:styleId="PlainTable2">
    <w:name w:val="Plain Table 2"/>
    <w:basedOn w:val="TableNormal"/>
    <w:uiPriority w:val="99"/>
    <w:rsid w:val="0067563C"/>
    <w:tblPr>
      <w:tblStyleRowBandSize w:val="1"/>
      <w:tblStyleColBandSize w:val="1"/>
      <w:tblBorders>
        <w:top w:val="single" w:sz="4" w:space="0" w:color="ABABAB"/>
        <w:bottom w:val="single" w:sz="4" w:space="0" w:color="ABABAB"/>
      </w:tblBorders>
    </w:tblPr>
    <w:tblStylePr w:type="firstRow">
      <w:rPr>
        <w:b/>
        <w:bCs/>
      </w:rPr>
      <w:tblPr/>
      <w:tcPr>
        <w:tcBorders>
          <w:bottom w:val="single" w:sz="4" w:space="0" w:color="ABABAB"/>
        </w:tcBorders>
      </w:tcPr>
    </w:tblStylePr>
    <w:tblStylePr w:type="lastRow">
      <w:rPr>
        <w:b/>
        <w:bCs/>
      </w:rPr>
      <w:tblPr/>
      <w:tcPr>
        <w:tcBorders>
          <w:top w:val="single" w:sz="4" w:space="0" w:color="ABABAB"/>
        </w:tcBorders>
      </w:tcPr>
    </w:tblStylePr>
    <w:tblStylePr w:type="firstCol">
      <w:rPr>
        <w:b/>
        <w:bCs/>
      </w:rPr>
    </w:tblStylePr>
    <w:tblStylePr w:type="lastCol">
      <w:rPr>
        <w:b/>
        <w:bCs/>
      </w:rPr>
    </w:tblStylePr>
    <w:tblStylePr w:type="band1Vert">
      <w:tblPr/>
      <w:tcPr>
        <w:tcBorders>
          <w:left w:val="single" w:sz="4" w:space="0" w:color="ABABAB"/>
          <w:right w:val="single" w:sz="4" w:space="0" w:color="ABABAB"/>
        </w:tcBorders>
      </w:tcPr>
    </w:tblStylePr>
    <w:tblStylePr w:type="band2Vert">
      <w:tblPr/>
      <w:tcPr>
        <w:tcBorders>
          <w:left w:val="single" w:sz="4" w:space="0" w:color="ABABAB"/>
          <w:right w:val="single" w:sz="4" w:space="0" w:color="ABABAB"/>
        </w:tcBorders>
      </w:tcPr>
    </w:tblStylePr>
    <w:tblStylePr w:type="band1Horz">
      <w:tblPr/>
      <w:tcPr>
        <w:tcBorders>
          <w:top w:val="single" w:sz="4" w:space="0" w:color="ABABAB"/>
          <w:bottom w:val="single" w:sz="4" w:space="0" w:color="ABABAB"/>
        </w:tcBorders>
      </w:tcPr>
    </w:tblStylePr>
  </w:style>
  <w:style w:type="table" w:styleId="GridTable1Light-Accent2">
    <w:name w:val="Grid Table 1 Light Accent 2"/>
    <w:basedOn w:val="TableNormal"/>
    <w:uiPriority w:val="46"/>
    <w:rsid w:val="00F321F6"/>
    <w:tblPr>
      <w:tblStyleRowBandSize w:val="1"/>
      <w:tblStyleColBandSize w:val="1"/>
      <w:tblBorders>
        <w:top w:val="single" w:sz="4" w:space="0" w:color="90E5ED"/>
        <w:left w:val="single" w:sz="4" w:space="0" w:color="90E5ED"/>
        <w:bottom w:val="single" w:sz="4" w:space="0" w:color="90E5ED"/>
        <w:right w:val="single" w:sz="4" w:space="0" w:color="90E5ED"/>
        <w:insideH w:val="single" w:sz="4" w:space="0" w:color="90E5ED"/>
        <w:insideV w:val="single" w:sz="4" w:space="0" w:color="90E5ED"/>
      </w:tblBorders>
    </w:tblPr>
    <w:tblStylePr w:type="firstRow">
      <w:rPr>
        <w:b/>
        <w:bCs/>
      </w:rPr>
      <w:tblPr/>
      <w:tcPr>
        <w:tcBorders>
          <w:bottom w:val="single" w:sz="12" w:space="0" w:color="59D8E5"/>
        </w:tcBorders>
      </w:tcPr>
    </w:tblStylePr>
    <w:tblStylePr w:type="lastRow">
      <w:rPr>
        <w:b/>
        <w:bCs/>
      </w:rPr>
      <w:tblPr/>
      <w:tcPr>
        <w:tcBorders>
          <w:top w:val="double" w:sz="2" w:space="0" w:color="59D8E5"/>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rsid w:val="008A70AF"/>
    <w:pPr>
      <w:spacing w:before="240" w:line="259" w:lineRule="auto"/>
      <w:outlineLvl w:val="9"/>
    </w:pPr>
    <w:rPr>
      <w:rFonts w:ascii="Arial" w:eastAsia="MS Gothic" w:hAnsi="Arial" w:cs="Tahoma"/>
      <w:b w:val="0"/>
      <w:bCs w:val="0"/>
      <w:color w:val="7D864F"/>
      <w:sz w:val="32"/>
      <w:szCs w:val="32"/>
    </w:rPr>
  </w:style>
  <w:style w:type="paragraph" w:styleId="TOC2">
    <w:name w:val="toc 2"/>
    <w:basedOn w:val="Normal"/>
    <w:next w:val="Normal"/>
    <w:autoRedefine/>
    <w:uiPriority w:val="39"/>
    <w:unhideWhenUsed/>
    <w:rsid w:val="00371BAA"/>
    <w:pPr>
      <w:spacing w:after="0"/>
      <w:ind w:left="220"/>
    </w:pPr>
    <w:rPr>
      <w:rFonts w:ascii="Arial" w:hAnsi="Arial"/>
      <w:smallCaps/>
      <w:sz w:val="20"/>
      <w:szCs w:val="24"/>
    </w:rPr>
  </w:style>
  <w:style w:type="paragraph" w:styleId="TOC1">
    <w:name w:val="toc 1"/>
    <w:basedOn w:val="Normal"/>
    <w:next w:val="Normal"/>
    <w:autoRedefine/>
    <w:uiPriority w:val="39"/>
    <w:unhideWhenUsed/>
    <w:rsid w:val="00371BAA"/>
    <w:pPr>
      <w:spacing w:before="120" w:after="120"/>
    </w:pPr>
    <w:rPr>
      <w:rFonts w:ascii="Arial" w:hAnsi="Arial"/>
      <w:b/>
      <w:bCs/>
      <w:caps/>
      <w:sz w:val="20"/>
      <w:szCs w:val="24"/>
    </w:rPr>
  </w:style>
  <w:style w:type="paragraph" w:styleId="TOC3">
    <w:name w:val="toc 3"/>
    <w:basedOn w:val="Normal"/>
    <w:next w:val="Normal"/>
    <w:autoRedefine/>
    <w:uiPriority w:val="39"/>
    <w:unhideWhenUsed/>
    <w:rsid w:val="00371BAA"/>
    <w:pPr>
      <w:spacing w:after="0"/>
      <w:ind w:left="440"/>
    </w:pPr>
    <w:rPr>
      <w:rFonts w:ascii="Arial" w:hAnsi="Arial"/>
      <w:i/>
      <w:iCs/>
      <w:sz w:val="20"/>
      <w:szCs w:val="24"/>
    </w:rPr>
  </w:style>
  <w:style w:type="paragraph" w:customStyle="1" w:styleId="EnvPublicationTitle">
    <w:name w:val="Env Publication Title"/>
    <w:basedOn w:val="Title"/>
    <w:link w:val="EnvPublicationTitleChar"/>
    <w:rsid w:val="008A70AF"/>
    <w:pPr>
      <w:jc w:val="center"/>
    </w:pPr>
    <w:rPr>
      <w:b/>
      <w:bCs/>
      <w:noProof/>
      <w:color w:val="308C6B"/>
      <w:sz w:val="44"/>
      <w:szCs w:val="44"/>
      <w:lang w:bidi="ar-AE"/>
    </w:rPr>
  </w:style>
  <w:style w:type="character" w:customStyle="1" w:styleId="Heading2Char">
    <w:name w:val="Heading 2 Char"/>
    <w:link w:val="Heading2"/>
    <w:uiPriority w:val="9"/>
    <w:semiHidden/>
    <w:rsid w:val="00526C1D"/>
    <w:rPr>
      <w:rFonts w:ascii="Arial" w:eastAsia="MS Gothic" w:hAnsi="Arial" w:cs="Tahoma"/>
      <w:color w:val="7D864F"/>
      <w:sz w:val="26"/>
      <w:szCs w:val="26"/>
    </w:rPr>
  </w:style>
  <w:style w:type="character" w:customStyle="1" w:styleId="EnvPublicationTitleChar">
    <w:name w:val="Env Publication Title Char"/>
    <w:link w:val="EnvPublicationTitle"/>
    <w:rsid w:val="008A70AF"/>
    <w:rPr>
      <w:rFonts w:ascii="Arial" w:eastAsia="MS Gothic" w:hAnsi="Arial" w:cs="Tahoma"/>
      <w:b/>
      <w:bCs/>
      <w:noProof/>
      <w:color w:val="308C6B"/>
      <w:spacing w:val="-10"/>
      <w:kern w:val="28"/>
      <w:sz w:val="44"/>
      <w:szCs w:val="44"/>
      <w:lang w:bidi="ar-AE"/>
    </w:rPr>
  </w:style>
  <w:style w:type="paragraph" w:styleId="Title">
    <w:name w:val="Title"/>
    <w:basedOn w:val="Normal"/>
    <w:next w:val="Normal"/>
    <w:link w:val="TitleChar"/>
    <w:uiPriority w:val="10"/>
    <w:rsid w:val="00526C1D"/>
    <w:pPr>
      <w:spacing w:after="0" w:line="240" w:lineRule="auto"/>
      <w:contextualSpacing/>
    </w:pPr>
    <w:rPr>
      <w:rFonts w:ascii="Arial" w:eastAsia="MS Gothic" w:hAnsi="Arial" w:cs="Tahoma"/>
      <w:spacing w:val="-10"/>
      <w:kern w:val="28"/>
      <w:sz w:val="56"/>
      <w:szCs w:val="56"/>
    </w:rPr>
  </w:style>
  <w:style w:type="character" w:customStyle="1" w:styleId="TitleChar">
    <w:name w:val="Title Char"/>
    <w:link w:val="Title"/>
    <w:uiPriority w:val="10"/>
    <w:rsid w:val="00526C1D"/>
    <w:rPr>
      <w:rFonts w:ascii="Arial" w:eastAsia="MS Gothic" w:hAnsi="Arial" w:cs="Tahoma"/>
      <w:spacing w:val="-10"/>
      <w:kern w:val="28"/>
      <w:sz w:val="56"/>
      <w:szCs w:val="56"/>
    </w:rPr>
  </w:style>
  <w:style w:type="table" w:customStyle="1" w:styleId="SCADEnv">
    <w:name w:val="SCAD Env"/>
    <w:basedOn w:val="TableNormal"/>
    <w:uiPriority w:val="99"/>
    <w:rsid w:val="00B413D4"/>
    <w:rPr>
      <w:rFonts w:ascii="Arial" w:hAnsi="Arial"/>
      <w:color w:val="7F7F7F"/>
    </w:rPr>
    <w:tblPr/>
    <w:tcPr>
      <w:vAlign w:val="center"/>
    </w:tcPr>
    <w:tblStylePr w:type="firstRow">
      <w:rPr>
        <w:rFonts w:ascii="Arial" w:hAnsi="Arial" w:cs="Cambria"/>
        <w:b/>
        <w:bCs/>
        <w:i w:val="0"/>
        <w:iCs w:val="0"/>
        <w:caps w:val="0"/>
        <w:smallCaps w:val="0"/>
        <w:strike w:val="0"/>
        <w:dstrike w:val="0"/>
        <w:vanish w:val="0"/>
        <w:color w:val="FFFFFF"/>
        <w:sz w:val="20"/>
        <w:szCs w:val="20"/>
        <w:u w:val="none"/>
        <w:vertAlign w:val="baseline"/>
      </w:rPr>
      <w:tblPr/>
      <w:tcPr>
        <w:tcBorders>
          <w:top w:val="nil"/>
          <w:bottom w:val="nil"/>
          <w:insideH w:val="nil"/>
        </w:tcBorders>
        <w:shd w:val="clear" w:color="auto" w:fill="308C6B"/>
      </w:tcPr>
    </w:tblStylePr>
    <w:tblStylePr w:type="lastRow">
      <w:rPr>
        <w:rFonts w:ascii="Arial" w:hAnsi="Arial" w:cs="Cambria"/>
        <w:b/>
        <w:bCs/>
        <w:sz w:val="20"/>
        <w:szCs w:val="20"/>
      </w:rPr>
      <w:tblPr/>
      <w:tcPr>
        <w:shd w:val="clear" w:color="auto" w:fill="D9D9D9"/>
      </w:tcPr>
    </w:tblStylePr>
  </w:style>
  <w:style w:type="paragraph" w:customStyle="1" w:styleId="EcoHeading2">
    <w:name w:val="Eco_Heading 2"/>
    <w:link w:val="EcoHeading2Char"/>
    <w:autoRedefine/>
    <w:qFormat/>
    <w:rsid w:val="00DA2741"/>
    <w:pPr>
      <w:spacing w:line="360" w:lineRule="auto"/>
    </w:pPr>
    <w:rPr>
      <w:rFonts w:ascii="Arial" w:eastAsia="Tahoma" w:hAnsi="Arial"/>
      <w:b/>
      <w:bCs/>
      <w:color w:val="595959"/>
      <w:sz w:val="22"/>
      <w:szCs w:val="22"/>
      <w:lang w:eastAsia="x-none"/>
    </w:rPr>
  </w:style>
  <w:style w:type="character" w:customStyle="1" w:styleId="EcoHeading2Char">
    <w:name w:val="Eco_Heading 2 Char"/>
    <w:link w:val="EcoHeading2"/>
    <w:rsid w:val="00DA2741"/>
    <w:rPr>
      <w:rFonts w:ascii="Arial" w:eastAsia="Tahoma" w:hAnsi="Arial"/>
      <w:b/>
      <w:bCs/>
      <w:color w:val="595959"/>
      <w:sz w:val="22"/>
      <w:szCs w:val="22"/>
      <w:lang w:eastAsia="x-none"/>
    </w:rPr>
  </w:style>
  <w:style w:type="paragraph" w:customStyle="1" w:styleId="EnvInfo0">
    <w:name w:val="Env_Info"/>
    <w:basedOn w:val="Normal"/>
    <w:link w:val="EnvInfoChar0"/>
    <w:autoRedefine/>
    <w:rsid w:val="00F23655"/>
    <w:pPr>
      <w:autoSpaceDE w:val="0"/>
      <w:autoSpaceDN w:val="0"/>
      <w:bidi/>
      <w:adjustRightInd w:val="0"/>
      <w:spacing w:before="120"/>
    </w:pPr>
    <w:rPr>
      <w:rFonts w:ascii="Arial" w:hAnsi="Arial"/>
      <w:color w:val="595959"/>
      <w:sz w:val="20"/>
      <w:szCs w:val="20"/>
    </w:rPr>
  </w:style>
  <w:style w:type="character" w:customStyle="1" w:styleId="EnvInfoChar0">
    <w:name w:val="Env_Info Char"/>
    <w:link w:val="EnvInfo0"/>
    <w:rsid w:val="00F23655"/>
    <w:rPr>
      <w:rFonts w:ascii="Arial" w:hAnsi="Arial" w:cs="Arial"/>
      <w:color w:val="595959"/>
      <w:sz w:val="20"/>
      <w:szCs w:val="20"/>
    </w:rPr>
  </w:style>
  <w:style w:type="paragraph" w:customStyle="1" w:styleId="EcoBody">
    <w:name w:val="Eco_Body"/>
    <w:link w:val="EcoBodyChar"/>
    <w:autoRedefine/>
    <w:qFormat/>
    <w:rsid w:val="00DB10B2"/>
    <w:pPr>
      <w:spacing w:line="360" w:lineRule="auto"/>
      <w:jc w:val="both"/>
    </w:pPr>
    <w:rPr>
      <w:rFonts w:ascii="Arial" w:hAnsi="Arial"/>
      <w:color w:val="595959" w:themeColor="text1"/>
    </w:rPr>
  </w:style>
  <w:style w:type="character" w:customStyle="1" w:styleId="EcoBodyChar">
    <w:name w:val="Eco_Body Char"/>
    <w:link w:val="EcoBody"/>
    <w:rsid w:val="00DB10B2"/>
    <w:rPr>
      <w:rFonts w:ascii="Arial" w:hAnsi="Arial"/>
      <w:color w:val="595959" w:themeColor="text1"/>
    </w:rPr>
  </w:style>
  <w:style w:type="paragraph" w:customStyle="1" w:styleId="EcoSourceNote">
    <w:name w:val="Eco_Source_Note"/>
    <w:basedOn w:val="EcoBody"/>
    <w:link w:val="EcoSourceNoteChar"/>
    <w:autoRedefine/>
    <w:qFormat/>
    <w:rsid w:val="00917809"/>
    <w:pPr>
      <w:jc w:val="left"/>
    </w:pPr>
    <w:rPr>
      <w:rFonts w:eastAsia="Calibri"/>
      <w:sz w:val="18"/>
      <w:szCs w:val="18"/>
      <w:lang w:val="en-GB" w:eastAsia="en-GB" w:bidi="ar-AE"/>
    </w:rPr>
  </w:style>
  <w:style w:type="character" w:customStyle="1" w:styleId="EcoSourceNoteChar">
    <w:name w:val="Eco_Source_Note Char"/>
    <w:link w:val="EcoSourceNote"/>
    <w:rsid w:val="00917809"/>
    <w:rPr>
      <w:rFonts w:ascii="Arial" w:eastAsia="Calibri" w:hAnsi="Arial"/>
      <w:color w:val="595959" w:themeColor="text1"/>
      <w:sz w:val="18"/>
      <w:szCs w:val="18"/>
      <w:lang w:val="en-GB" w:eastAsia="en-GB" w:bidi="ar-AE"/>
    </w:rPr>
  </w:style>
  <w:style w:type="paragraph" w:customStyle="1" w:styleId="EcoTableTotals">
    <w:name w:val="Eco_Table_Totals"/>
    <w:basedOn w:val="Normal"/>
    <w:link w:val="EcoTableTotalsChar"/>
    <w:autoRedefine/>
    <w:qFormat/>
    <w:rsid w:val="007705C5"/>
    <w:pPr>
      <w:spacing w:after="0" w:line="240" w:lineRule="auto"/>
    </w:pPr>
    <w:rPr>
      <w:rFonts w:ascii="Arial" w:hAnsi="Arial" w:cs="Tahoma"/>
      <w:b/>
      <w:bCs/>
      <w:color w:val="595959"/>
      <w:sz w:val="20"/>
      <w:szCs w:val="20"/>
    </w:rPr>
  </w:style>
  <w:style w:type="character" w:customStyle="1" w:styleId="EcoTableTotalsChar">
    <w:name w:val="Eco_Table_Totals Char"/>
    <w:link w:val="EcoTableTotals"/>
    <w:rsid w:val="007705C5"/>
    <w:rPr>
      <w:rFonts w:ascii="Arial" w:hAnsi="Arial"/>
      <w:b/>
      <w:bCs/>
      <w:color w:val="595959"/>
    </w:rPr>
  </w:style>
  <w:style w:type="paragraph" w:customStyle="1" w:styleId="EcoTableRowHeader">
    <w:name w:val="Eco_Table_Row_Header"/>
    <w:basedOn w:val="Normal"/>
    <w:link w:val="EcoTableRowHeaderChar"/>
    <w:autoRedefine/>
    <w:qFormat/>
    <w:rsid w:val="00B413D4"/>
    <w:pPr>
      <w:spacing w:after="0" w:line="240" w:lineRule="auto"/>
    </w:pPr>
    <w:rPr>
      <w:rFonts w:ascii="Arial" w:hAnsi="Arial" w:cs="Tahoma"/>
      <w:b/>
      <w:bCs/>
      <w:color w:val="FFFFFF"/>
      <w:sz w:val="20"/>
      <w:szCs w:val="20"/>
    </w:rPr>
  </w:style>
  <w:style w:type="character" w:customStyle="1" w:styleId="EcoTableRowHeaderChar">
    <w:name w:val="Eco_Table_Row_Header Char"/>
    <w:link w:val="EcoTableRowHeader"/>
    <w:rsid w:val="00B413D4"/>
    <w:rPr>
      <w:rFonts w:ascii="Arial" w:hAnsi="Arial"/>
      <w:b/>
      <w:bCs/>
      <w:color w:val="FFFFFF"/>
      <w:sz w:val="20"/>
      <w:szCs w:val="20"/>
    </w:rPr>
  </w:style>
  <w:style w:type="paragraph" w:customStyle="1" w:styleId="EcoTableBody">
    <w:name w:val="Eco_Table_Body"/>
    <w:basedOn w:val="Normal"/>
    <w:link w:val="EcoTableBodyChar"/>
    <w:autoRedefine/>
    <w:qFormat/>
    <w:rsid w:val="00267C12"/>
    <w:pPr>
      <w:bidi/>
      <w:spacing w:after="0" w:line="240" w:lineRule="auto"/>
      <w:jc w:val="right"/>
    </w:pPr>
    <w:rPr>
      <w:rFonts w:ascii="Arial" w:hAnsi="Arial" w:cs="Tahoma"/>
      <w:color w:val="595959"/>
      <w:sz w:val="20"/>
      <w:szCs w:val="20"/>
    </w:rPr>
  </w:style>
  <w:style w:type="character" w:customStyle="1" w:styleId="EcoTableBodyChar">
    <w:name w:val="Eco_Table_Body Char"/>
    <w:link w:val="EcoTableBody"/>
    <w:rsid w:val="00267C12"/>
    <w:rPr>
      <w:rFonts w:ascii="Arial" w:hAnsi="Arial"/>
      <w:color w:val="595959"/>
      <w:sz w:val="20"/>
      <w:szCs w:val="20"/>
    </w:rPr>
  </w:style>
  <w:style w:type="paragraph" w:customStyle="1" w:styleId="EcoTableChartSubtitle">
    <w:name w:val="Eco_Table/Chart_Subtitle"/>
    <w:link w:val="EcoTableChartSubtitleChar"/>
    <w:autoRedefine/>
    <w:qFormat/>
    <w:rsid w:val="001352F1"/>
    <w:pPr>
      <w:spacing w:line="360" w:lineRule="auto"/>
    </w:pPr>
    <w:rPr>
      <w:rFonts w:ascii="Arial" w:hAnsi="Arial"/>
      <w:color w:val="595959"/>
      <w:sz w:val="18"/>
      <w:szCs w:val="18"/>
      <w:lang w:bidi="ar-AE"/>
    </w:rPr>
  </w:style>
  <w:style w:type="character" w:customStyle="1" w:styleId="EcoTableChartSubtitleChar">
    <w:name w:val="Eco_Table/Chart_Subtitle Char"/>
    <w:link w:val="EcoTableChartSubtitle"/>
    <w:rsid w:val="001352F1"/>
    <w:rPr>
      <w:rFonts w:ascii="Arial" w:hAnsi="Arial"/>
      <w:color w:val="595959"/>
      <w:sz w:val="18"/>
      <w:szCs w:val="18"/>
      <w:lang w:bidi="ar-AE"/>
    </w:rPr>
  </w:style>
  <w:style w:type="paragraph" w:customStyle="1" w:styleId="EnvTableChartTitle0">
    <w:name w:val="Env_Table/Chart_Title"/>
    <w:link w:val="EnvTableChartTitleChar0"/>
    <w:autoRedefine/>
    <w:rsid w:val="00D241FD"/>
    <w:pPr>
      <w:bidi/>
      <w:spacing w:after="120" w:line="360" w:lineRule="auto"/>
    </w:pPr>
    <w:rPr>
      <w:rFonts w:ascii="Arial" w:eastAsia="Tahoma" w:hAnsi="Arial"/>
      <w:b/>
      <w:bCs/>
      <w:color w:val="929292"/>
      <w:sz w:val="22"/>
      <w:szCs w:val="22"/>
      <w:lang w:bidi="ar-AE"/>
    </w:rPr>
  </w:style>
  <w:style w:type="character" w:customStyle="1" w:styleId="EnvTableChartTitleChar0">
    <w:name w:val="Env_Table/Chart_Title Char"/>
    <w:link w:val="EnvTableChartTitle0"/>
    <w:rsid w:val="00D241FD"/>
    <w:rPr>
      <w:rFonts w:ascii="Arial" w:eastAsia="Tahoma" w:hAnsi="Arial" w:cs="Times New Roman"/>
      <w:b/>
      <w:bCs/>
      <w:color w:val="929292"/>
      <w:sz w:val="28"/>
      <w:szCs w:val="28"/>
      <w:lang w:val="x-none" w:eastAsia="x-none" w:bidi="ar-AE"/>
    </w:rPr>
  </w:style>
  <w:style w:type="paragraph" w:customStyle="1" w:styleId="EcoBulleting">
    <w:name w:val="Eco_Bulleting"/>
    <w:basedOn w:val="Normal"/>
    <w:link w:val="EcoBulletingChar"/>
    <w:autoRedefine/>
    <w:qFormat/>
    <w:rsid w:val="00DA2741"/>
    <w:pPr>
      <w:numPr>
        <w:numId w:val="37"/>
      </w:numPr>
      <w:autoSpaceDE w:val="0"/>
      <w:autoSpaceDN w:val="0"/>
      <w:bidi/>
      <w:adjustRightInd w:val="0"/>
      <w:spacing w:line="360" w:lineRule="auto"/>
      <w:jc w:val="both"/>
    </w:pPr>
    <w:rPr>
      <w:rFonts w:ascii="Arial" w:hAnsi="Arial" w:cs="Tahoma"/>
      <w:color w:val="595959"/>
      <w:sz w:val="20"/>
      <w:szCs w:val="20"/>
    </w:rPr>
  </w:style>
  <w:style w:type="character" w:customStyle="1" w:styleId="EcoBulletingChar">
    <w:name w:val="Eco_Bulleting Char"/>
    <w:link w:val="EcoBulleting"/>
    <w:rsid w:val="00DA2741"/>
    <w:rPr>
      <w:rFonts w:ascii="Arial" w:hAnsi="Arial"/>
      <w:color w:val="595959"/>
    </w:rPr>
  </w:style>
  <w:style w:type="paragraph" w:customStyle="1" w:styleId="EcHeading1">
    <w:name w:val="Ec_Heading 1"/>
    <w:basedOn w:val="Heading1"/>
    <w:link w:val="EcHeading1Char"/>
    <w:rsid w:val="00061FE7"/>
    <w:rPr>
      <w:rFonts w:ascii="Arial" w:hAnsi="Arial" w:cs="Tahoma"/>
      <w:color w:val="B3975B"/>
      <w:sz w:val="32"/>
      <w:szCs w:val="32"/>
      <w:lang w:val="en-GB"/>
    </w:rPr>
  </w:style>
  <w:style w:type="paragraph" w:customStyle="1" w:styleId="EcHeading2">
    <w:name w:val="Ec_Heading 2"/>
    <w:basedOn w:val="Heading2"/>
    <w:link w:val="EcHeading2Char"/>
    <w:rsid w:val="00061FE7"/>
    <w:pPr>
      <w:bidi/>
      <w:spacing w:before="120" w:after="120" w:line="240" w:lineRule="auto"/>
    </w:pPr>
    <w:rPr>
      <w:rFonts w:eastAsia="Tahoma" w:cs="Times New Roman"/>
      <w:b/>
      <w:bCs/>
      <w:color w:val="ABABAB"/>
      <w:sz w:val="24"/>
      <w:szCs w:val="24"/>
      <w:lang w:eastAsia="x-none"/>
    </w:rPr>
  </w:style>
  <w:style w:type="character" w:customStyle="1" w:styleId="EcHeading1Char">
    <w:name w:val="Ec_Heading 1 Char"/>
    <w:link w:val="EcHeading1"/>
    <w:rsid w:val="00061FE7"/>
    <w:rPr>
      <w:rFonts w:ascii="Arial" w:hAnsi="Arial" w:cs="Tahoma"/>
      <w:b/>
      <w:bCs/>
      <w:color w:val="B3975B"/>
      <w:sz w:val="32"/>
      <w:szCs w:val="32"/>
      <w:lang w:val="en-GB"/>
    </w:rPr>
  </w:style>
  <w:style w:type="paragraph" w:customStyle="1" w:styleId="EcNormal">
    <w:name w:val="Ec_Normal"/>
    <w:basedOn w:val="Normal"/>
    <w:link w:val="EcNormalChar"/>
    <w:rsid w:val="00061FE7"/>
    <w:pPr>
      <w:bidi/>
      <w:spacing w:line="360" w:lineRule="auto"/>
    </w:pPr>
    <w:rPr>
      <w:rFonts w:ascii="Arial" w:hAnsi="Arial" w:cs="Tahoma"/>
      <w:color w:val="929292"/>
      <w:sz w:val="20"/>
      <w:szCs w:val="20"/>
    </w:rPr>
  </w:style>
  <w:style w:type="character" w:customStyle="1" w:styleId="EcHeading2Char">
    <w:name w:val="Ec_Heading 2 Char"/>
    <w:link w:val="EcHeading2"/>
    <w:rsid w:val="00061FE7"/>
    <w:rPr>
      <w:rFonts w:ascii="Arial" w:eastAsia="Tahoma" w:hAnsi="Arial" w:cs="Times New Roman"/>
      <w:b/>
      <w:bCs/>
      <w:color w:val="ABABAB"/>
      <w:sz w:val="24"/>
      <w:szCs w:val="24"/>
      <w:lang w:eastAsia="x-none"/>
    </w:rPr>
  </w:style>
  <w:style w:type="paragraph" w:customStyle="1" w:styleId="EcTableChartTitle">
    <w:name w:val="Ec_Table/Chart_Title"/>
    <w:basedOn w:val="SCADEconomy"/>
    <w:link w:val="EcTableChartTitleChar"/>
    <w:rsid w:val="00061FE7"/>
    <w:pPr>
      <w:spacing w:before="120" w:after="120"/>
    </w:pPr>
    <w:rPr>
      <w:rFonts w:ascii="Arial" w:eastAsia="Tahoma" w:hAnsi="Arial" w:cs="Times New Roman"/>
      <w:color w:val="ABABAB"/>
      <w:sz w:val="28"/>
      <w:szCs w:val="28"/>
      <w:lang w:val="x-none" w:eastAsia="x-none" w:bidi="ar-AE"/>
    </w:rPr>
  </w:style>
  <w:style w:type="character" w:customStyle="1" w:styleId="EcNormalChar">
    <w:name w:val="Ec_Normal Char"/>
    <w:link w:val="EcNormal"/>
    <w:rsid w:val="00061FE7"/>
    <w:rPr>
      <w:rFonts w:ascii="Arial" w:hAnsi="Arial"/>
      <w:color w:val="929292"/>
      <w:sz w:val="20"/>
      <w:szCs w:val="20"/>
    </w:rPr>
  </w:style>
  <w:style w:type="paragraph" w:customStyle="1" w:styleId="EcTableChartSubtitle">
    <w:name w:val="Ec_Table/Chart_Subtitle"/>
    <w:basedOn w:val="Normal"/>
    <w:link w:val="EcTableChartSubtitleChar"/>
    <w:autoRedefine/>
    <w:rsid w:val="007705C5"/>
    <w:pPr>
      <w:spacing w:after="0"/>
    </w:pPr>
    <w:rPr>
      <w:rFonts w:ascii="Arial" w:hAnsi="Arial" w:cs="Tahoma"/>
      <w:color w:val="595959"/>
      <w:sz w:val="18"/>
      <w:szCs w:val="18"/>
      <w:lang w:bidi="ar-AE"/>
    </w:rPr>
  </w:style>
  <w:style w:type="character" w:customStyle="1" w:styleId="EcTableChartTitleChar">
    <w:name w:val="Ec_Table/Chart_Title Char"/>
    <w:link w:val="EcTableChartTitle"/>
    <w:rsid w:val="00061FE7"/>
    <w:rPr>
      <w:rFonts w:ascii="Arial" w:eastAsia="Tahoma" w:hAnsi="Arial" w:cs="Times New Roman"/>
      <w:b/>
      <w:bCs/>
      <w:color w:val="ABABAB"/>
      <w:sz w:val="28"/>
      <w:szCs w:val="28"/>
      <w:lang w:val="x-none" w:eastAsia="x-none" w:bidi="ar-AE"/>
    </w:rPr>
  </w:style>
  <w:style w:type="paragraph" w:customStyle="1" w:styleId="EcSourceNote">
    <w:name w:val="Ec_Source_Note"/>
    <w:basedOn w:val="Normal"/>
    <w:link w:val="EcSourceNoteChar"/>
    <w:rsid w:val="00061FE7"/>
    <w:pPr>
      <w:bidi/>
      <w:spacing w:after="0" w:line="240" w:lineRule="auto"/>
    </w:pPr>
    <w:rPr>
      <w:rFonts w:ascii="Arial" w:hAnsi="Arial" w:cs="Tahoma"/>
      <w:color w:val="C00000"/>
      <w:sz w:val="16"/>
      <w:szCs w:val="16"/>
      <w:lang w:val="en-GB" w:eastAsia="en-GB"/>
    </w:rPr>
  </w:style>
  <w:style w:type="character" w:customStyle="1" w:styleId="EcTableChartSubtitleChar">
    <w:name w:val="Ec_Table/Chart_Subtitle Char"/>
    <w:link w:val="EcTableChartSubtitle"/>
    <w:rsid w:val="007705C5"/>
    <w:rPr>
      <w:rFonts w:ascii="Arial" w:hAnsi="Arial"/>
      <w:color w:val="595959"/>
      <w:sz w:val="18"/>
      <w:szCs w:val="18"/>
      <w:lang w:bidi="ar-AE"/>
    </w:rPr>
  </w:style>
  <w:style w:type="paragraph" w:customStyle="1" w:styleId="EcBulleting">
    <w:name w:val="Ec_Bulleting"/>
    <w:basedOn w:val="Normal"/>
    <w:link w:val="EcBulletingChar"/>
    <w:rsid w:val="00061FE7"/>
    <w:pPr>
      <w:autoSpaceDE w:val="0"/>
      <w:autoSpaceDN w:val="0"/>
      <w:bidi/>
      <w:adjustRightInd w:val="0"/>
      <w:ind w:left="720" w:hanging="360"/>
    </w:pPr>
    <w:rPr>
      <w:rFonts w:ascii="Arial" w:hAnsi="Arial" w:cs="Tahoma"/>
      <w:color w:val="929292"/>
      <w:sz w:val="20"/>
      <w:szCs w:val="20"/>
    </w:rPr>
  </w:style>
  <w:style w:type="character" w:customStyle="1" w:styleId="EcSourceNoteChar">
    <w:name w:val="Ec_Source_Note Char"/>
    <w:link w:val="EcSourceNote"/>
    <w:rsid w:val="00061FE7"/>
    <w:rPr>
      <w:rFonts w:ascii="Arial" w:hAnsi="Arial"/>
      <w:color w:val="C00000"/>
      <w:sz w:val="16"/>
      <w:szCs w:val="16"/>
      <w:lang w:val="en-GB" w:eastAsia="en-GB"/>
    </w:rPr>
  </w:style>
  <w:style w:type="paragraph" w:customStyle="1" w:styleId="EcInfo">
    <w:name w:val="Ec_Info"/>
    <w:basedOn w:val="Normal"/>
    <w:link w:val="EcInfoChar"/>
    <w:rsid w:val="00061FE7"/>
    <w:pPr>
      <w:autoSpaceDE w:val="0"/>
      <w:autoSpaceDN w:val="0"/>
      <w:bidi/>
      <w:adjustRightInd w:val="0"/>
      <w:spacing w:before="120"/>
      <w:jc w:val="right"/>
    </w:pPr>
    <w:rPr>
      <w:rFonts w:ascii="Arial" w:hAnsi="Arial" w:cs="Tahoma"/>
      <w:color w:val="ABABAB"/>
      <w:sz w:val="20"/>
      <w:szCs w:val="20"/>
    </w:rPr>
  </w:style>
  <w:style w:type="character" w:customStyle="1" w:styleId="EcBulletingChar">
    <w:name w:val="Ec_Bulleting Char"/>
    <w:link w:val="EcBulleting"/>
    <w:rsid w:val="00061FE7"/>
    <w:rPr>
      <w:rFonts w:ascii="Arial" w:hAnsi="Arial"/>
      <w:color w:val="929292"/>
      <w:sz w:val="20"/>
      <w:szCs w:val="20"/>
    </w:rPr>
  </w:style>
  <w:style w:type="character" w:customStyle="1" w:styleId="EcInfoChar">
    <w:name w:val="Ec_Info Char"/>
    <w:link w:val="EcInfo"/>
    <w:rsid w:val="00061FE7"/>
    <w:rPr>
      <w:rFonts w:ascii="Arial" w:hAnsi="Arial"/>
      <w:color w:val="ABABAB"/>
      <w:sz w:val="20"/>
      <w:szCs w:val="20"/>
    </w:rPr>
  </w:style>
  <w:style w:type="paragraph" w:customStyle="1" w:styleId="EcTableTotal">
    <w:name w:val="Ec_Table_Total"/>
    <w:basedOn w:val="Normal"/>
    <w:link w:val="EcTableTotalChar"/>
    <w:rsid w:val="00061FE7"/>
    <w:pPr>
      <w:spacing w:after="0" w:line="240" w:lineRule="auto"/>
    </w:pPr>
    <w:rPr>
      <w:rFonts w:ascii="Arial" w:hAnsi="Arial" w:cs="Tahoma"/>
      <w:b/>
      <w:bCs/>
      <w:color w:val="595959"/>
      <w:sz w:val="20"/>
      <w:szCs w:val="20"/>
    </w:rPr>
  </w:style>
  <w:style w:type="paragraph" w:customStyle="1" w:styleId="EcTableBody">
    <w:name w:val="Ec_Table_Body"/>
    <w:basedOn w:val="Normal"/>
    <w:link w:val="EcTableBodyChar"/>
    <w:rsid w:val="00061FE7"/>
    <w:pPr>
      <w:spacing w:after="0" w:line="240" w:lineRule="auto"/>
    </w:pPr>
    <w:rPr>
      <w:rFonts w:ascii="Arial" w:hAnsi="Arial" w:cs="Tahoma"/>
      <w:color w:val="595959"/>
      <w:sz w:val="20"/>
      <w:szCs w:val="20"/>
    </w:rPr>
  </w:style>
  <w:style w:type="character" w:customStyle="1" w:styleId="EcTableTotalChar">
    <w:name w:val="Ec_Table_Total Char"/>
    <w:link w:val="EcTableTotal"/>
    <w:rsid w:val="00061FE7"/>
    <w:rPr>
      <w:rFonts w:ascii="Arial" w:hAnsi="Arial"/>
      <w:b/>
      <w:bCs/>
      <w:color w:val="595959"/>
      <w:sz w:val="20"/>
      <w:szCs w:val="20"/>
    </w:rPr>
  </w:style>
  <w:style w:type="paragraph" w:customStyle="1" w:styleId="EcTableRowHeader">
    <w:name w:val="Ec_Table_Row_Header"/>
    <w:basedOn w:val="Normal"/>
    <w:link w:val="EcTableRowHeaderChar"/>
    <w:rsid w:val="00061FE7"/>
    <w:pPr>
      <w:spacing w:after="0" w:line="240" w:lineRule="auto"/>
    </w:pPr>
    <w:rPr>
      <w:rFonts w:ascii="Arial" w:hAnsi="Arial" w:cs="Tahoma"/>
      <w:b/>
      <w:bCs/>
      <w:color w:val="FFFFFF"/>
      <w:sz w:val="20"/>
      <w:szCs w:val="20"/>
    </w:rPr>
  </w:style>
  <w:style w:type="character" w:customStyle="1" w:styleId="EcTableBodyChar">
    <w:name w:val="Ec_Table_Body Char"/>
    <w:link w:val="EcTableBody"/>
    <w:rsid w:val="00061FE7"/>
    <w:rPr>
      <w:rFonts w:ascii="Arial" w:hAnsi="Arial"/>
      <w:color w:val="595959"/>
      <w:sz w:val="20"/>
      <w:szCs w:val="20"/>
    </w:rPr>
  </w:style>
  <w:style w:type="character" w:customStyle="1" w:styleId="EcTableRowHeaderChar">
    <w:name w:val="Ec_Table_Row_Header Char"/>
    <w:link w:val="EcTableRowHeader"/>
    <w:rsid w:val="00061FE7"/>
    <w:rPr>
      <w:rFonts w:ascii="Arial" w:hAnsi="Arial"/>
      <w:b/>
      <w:bCs/>
      <w:color w:val="FFFFFF"/>
      <w:sz w:val="20"/>
      <w:szCs w:val="20"/>
    </w:rPr>
  </w:style>
  <w:style w:type="paragraph" w:customStyle="1" w:styleId="EcPubTitle">
    <w:name w:val="Ec_Pub_Title"/>
    <w:basedOn w:val="Title"/>
    <w:link w:val="EcPubTitleChar"/>
    <w:rsid w:val="00061FE7"/>
    <w:pPr>
      <w:jc w:val="center"/>
    </w:pPr>
    <w:rPr>
      <w:b/>
      <w:bCs/>
      <w:noProof/>
      <w:color w:val="B3975B"/>
      <w:sz w:val="44"/>
      <w:szCs w:val="44"/>
      <w:lang w:bidi="ar-AE"/>
    </w:rPr>
  </w:style>
  <w:style w:type="character" w:customStyle="1" w:styleId="EcPubTitleChar">
    <w:name w:val="Ec_Pub_Title Char"/>
    <w:link w:val="EcPubTitle"/>
    <w:rsid w:val="00061FE7"/>
    <w:rPr>
      <w:rFonts w:ascii="Arial" w:eastAsia="MS Gothic" w:hAnsi="Arial"/>
      <w:b/>
      <w:bCs/>
      <w:noProof/>
      <w:color w:val="B3975B"/>
      <w:spacing w:val="-10"/>
      <w:kern w:val="28"/>
      <w:sz w:val="44"/>
      <w:szCs w:val="44"/>
      <w:lang w:bidi="ar-AE"/>
    </w:rPr>
  </w:style>
  <w:style w:type="paragraph" w:customStyle="1" w:styleId="EcPubSubtitle">
    <w:name w:val="Ec_Pub_Subtitle"/>
    <w:basedOn w:val="EcPubTitle"/>
    <w:link w:val="EcPubSubtitleChar"/>
    <w:rsid w:val="00061FE7"/>
    <w:rPr>
      <w:sz w:val="36"/>
      <w:szCs w:val="36"/>
    </w:rPr>
  </w:style>
  <w:style w:type="character" w:customStyle="1" w:styleId="EcPubSubtitleChar">
    <w:name w:val="Ec_Pub_Subtitle Char"/>
    <w:link w:val="EcPubSubtitle"/>
    <w:rsid w:val="00061FE7"/>
    <w:rPr>
      <w:rFonts w:ascii="Arial" w:eastAsia="MS Gothic" w:hAnsi="Arial"/>
      <w:b/>
      <w:bCs/>
      <w:noProof/>
      <w:color w:val="B3975B"/>
      <w:spacing w:val="-10"/>
      <w:kern w:val="28"/>
      <w:sz w:val="36"/>
      <w:szCs w:val="36"/>
      <w:lang w:bidi="ar-AE"/>
    </w:rPr>
  </w:style>
  <w:style w:type="paragraph" w:customStyle="1" w:styleId="EcNumbering">
    <w:name w:val="Ec_Numbering"/>
    <w:basedOn w:val="EcBulleting"/>
    <w:link w:val="EcNumberingChar"/>
    <w:rsid w:val="00061FE7"/>
    <w:pPr>
      <w:bidi w:val="0"/>
    </w:pPr>
  </w:style>
  <w:style w:type="character" w:customStyle="1" w:styleId="EcNumberingChar">
    <w:name w:val="Ec_Numbering Char"/>
    <w:link w:val="EcNumbering"/>
    <w:rsid w:val="00061FE7"/>
    <w:rPr>
      <w:rFonts w:ascii="Arial" w:hAnsi="Arial"/>
      <w:color w:val="929292"/>
      <w:sz w:val="20"/>
      <w:szCs w:val="20"/>
    </w:rPr>
  </w:style>
  <w:style w:type="paragraph" w:customStyle="1" w:styleId="EcReleaseDate">
    <w:name w:val="Ec_Release_Date"/>
    <w:basedOn w:val="EcPubSubtitle"/>
    <w:link w:val="EcReleaseDateChar"/>
    <w:rsid w:val="00061FE7"/>
    <w:pPr>
      <w:jc w:val="left"/>
    </w:pPr>
    <w:rPr>
      <w:sz w:val="26"/>
      <w:szCs w:val="26"/>
    </w:rPr>
  </w:style>
  <w:style w:type="character" w:customStyle="1" w:styleId="EcReleaseDateChar">
    <w:name w:val="Ec_Release_Date Char"/>
    <w:link w:val="EcReleaseDate"/>
    <w:rsid w:val="00061FE7"/>
    <w:rPr>
      <w:rFonts w:ascii="Arial" w:eastAsia="MS Gothic" w:hAnsi="Arial"/>
      <w:b/>
      <w:bCs/>
      <w:noProof/>
      <w:color w:val="B3975B"/>
      <w:spacing w:val="-10"/>
      <w:kern w:val="28"/>
      <w:sz w:val="26"/>
      <w:szCs w:val="26"/>
      <w:lang w:bidi="ar-AE"/>
    </w:rPr>
  </w:style>
  <w:style w:type="paragraph" w:customStyle="1" w:styleId="EcContentTableBody">
    <w:name w:val="Ec_Content_Table_Body"/>
    <w:basedOn w:val="SCADEconomy"/>
    <w:link w:val="EcContentTableBodyChar"/>
    <w:rsid w:val="00061FE7"/>
    <w:pPr>
      <w:tabs>
        <w:tab w:val="right" w:leader="dot" w:pos="10070"/>
      </w:tabs>
    </w:pPr>
    <w:rPr>
      <w:rFonts w:ascii="Arial" w:hAnsi="Arial" w:cs="Tahoma"/>
      <w:b w:val="0"/>
      <w:bCs w:val="0"/>
      <w:color w:val="929292"/>
      <w:sz w:val="20"/>
      <w:szCs w:val="20"/>
    </w:rPr>
  </w:style>
  <w:style w:type="character" w:customStyle="1" w:styleId="EcContentTableBodyChar">
    <w:name w:val="Ec_Content_Table_Body Char"/>
    <w:link w:val="EcContentTableBody"/>
    <w:rsid w:val="00061FE7"/>
    <w:rPr>
      <w:rFonts w:ascii="Arial" w:hAnsi="Arial"/>
      <w:color w:val="929292"/>
      <w:sz w:val="20"/>
      <w:szCs w:val="20"/>
      <w:lang w:val="en-GB"/>
    </w:rPr>
  </w:style>
  <w:style w:type="paragraph" w:customStyle="1" w:styleId="EcoPubTitle">
    <w:name w:val="Eco_Pub_Title"/>
    <w:basedOn w:val="EcPubSubtitle"/>
    <w:link w:val="EcoPubTitleChar"/>
    <w:autoRedefine/>
    <w:qFormat/>
    <w:rsid w:val="00F9308F"/>
    <w:rPr>
      <w:color w:val="D6A461" w:themeColor="text2"/>
      <w:sz w:val="44"/>
      <w:szCs w:val="44"/>
    </w:rPr>
  </w:style>
  <w:style w:type="paragraph" w:customStyle="1" w:styleId="EcoRelease">
    <w:name w:val="Eco_Release"/>
    <w:link w:val="EcoReleaseChar"/>
    <w:autoRedefine/>
    <w:qFormat/>
    <w:rsid w:val="00023DB1"/>
    <w:pPr>
      <w:bidi/>
      <w:jc w:val="right"/>
    </w:pPr>
    <w:rPr>
      <w:rFonts w:ascii="Arial" w:eastAsia="MS Gothic" w:hAnsi="Arial"/>
      <w:b/>
      <w:bCs/>
      <w:noProof/>
      <w:color w:val="D6A461" w:themeColor="text2"/>
      <w:spacing w:val="-10"/>
      <w:kern w:val="28"/>
      <w:sz w:val="26"/>
      <w:szCs w:val="26"/>
      <w:lang w:bidi="ar-AE"/>
    </w:rPr>
  </w:style>
  <w:style w:type="character" w:customStyle="1" w:styleId="EcoPubTitleChar">
    <w:name w:val="Eco_Pub_Title Char"/>
    <w:link w:val="EcoPubTitle"/>
    <w:rsid w:val="00F9308F"/>
    <w:rPr>
      <w:rFonts w:ascii="Arial" w:eastAsia="MS Gothic" w:hAnsi="Arial"/>
      <w:b/>
      <w:bCs/>
      <w:noProof/>
      <w:color w:val="D6A461" w:themeColor="text2"/>
      <w:spacing w:val="-10"/>
      <w:kern w:val="28"/>
      <w:sz w:val="44"/>
      <w:szCs w:val="44"/>
      <w:lang w:bidi="ar-AE"/>
    </w:rPr>
  </w:style>
  <w:style w:type="paragraph" w:customStyle="1" w:styleId="EcoContent">
    <w:name w:val="Eco_Content"/>
    <w:basedOn w:val="EcContentTableBody"/>
    <w:link w:val="EcoContentChar"/>
    <w:autoRedefine/>
    <w:qFormat/>
    <w:rsid w:val="00A90CEC"/>
    <w:pPr>
      <w:bidi w:val="0"/>
      <w:spacing w:line="360" w:lineRule="auto"/>
      <w:jc w:val="right"/>
    </w:pPr>
    <w:rPr>
      <w:noProof/>
      <w:color w:val="595959"/>
    </w:rPr>
  </w:style>
  <w:style w:type="character" w:customStyle="1" w:styleId="EcoReleaseChar">
    <w:name w:val="Eco_Release Char"/>
    <w:link w:val="EcoRelease"/>
    <w:rsid w:val="00023DB1"/>
    <w:rPr>
      <w:rFonts w:ascii="Arial" w:eastAsia="MS Gothic" w:hAnsi="Arial"/>
      <w:b/>
      <w:bCs/>
      <w:noProof/>
      <w:color w:val="D6A461" w:themeColor="text2"/>
      <w:spacing w:val="-10"/>
      <w:kern w:val="28"/>
      <w:sz w:val="26"/>
      <w:szCs w:val="26"/>
      <w:lang w:bidi="ar-AE"/>
    </w:rPr>
  </w:style>
  <w:style w:type="character" w:customStyle="1" w:styleId="EcoContentChar">
    <w:name w:val="Eco_Content Char"/>
    <w:link w:val="EcoContent"/>
    <w:rsid w:val="00A90CEC"/>
    <w:rPr>
      <w:rFonts w:ascii="Arial" w:hAnsi="Arial"/>
      <w:noProof/>
      <w:color w:val="595959"/>
      <w:lang w:val="en-GB"/>
    </w:rPr>
  </w:style>
  <w:style w:type="paragraph" w:customStyle="1" w:styleId="EcoNumbering">
    <w:name w:val="Eco_Numbering"/>
    <w:basedOn w:val="EcoBulleting"/>
    <w:link w:val="EcoNumberingChar"/>
    <w:autoRedefine/>
    <w:qFormat/>
    <w:rsid w:val="00756D03"/>
    <w:pPr>
      <w:numPr>
        <w:numId w:val="40"/>
      </w:numPr>
      <w:bidi w:val="0"/>
    </w:pPr>
  </w:style>
  <w:style w:type="paragraph" w:customStyle="1" w:styleId="EcoHeading1">
    <w:name w:val="Eco_Heading1"/>
    <w:link w:val="EcoHeading1Char"/>
    <w:autoRedefine/>
    <w:qFormat/>
    <w:rsid w:val="0089209C"/>
    <w:pPr>
      <w:spacing w:line="360" w:lineRule="auto"/>
      <w:ind w:left="-810"/>
    </w:pPr>
    <w:rPr>
      <w:rFonts w:ascii="Arial" w:hAnsi="Arial"/>
      <w:b/>
      <w:bCs/>
      <w:color w:val="D6A461" w:themeColor="text2"/>
      <w:sz w:val="28"/>
      <w:szCs w:val="28"/>
      <w:lang w:val="en-GB"/>
    </w:rPr>
  </w:style>
  <w:style w:type="character" w:customStyle="1" w:styleId="EcoNumberingChar">
    <w:name w:val="Eco_Numbering Char"/>
    <w:link w:val="EcoNumbering"/>
    <w:rsid w:val="00756D03"/>
    <w:rPr>
      <w:rFonts w:ascii="Arial" w:hAnsi="Arial"/>
      <w:color w:val="595959"/>
    </w:rPr>
  </w:style>
  <w:style w:type="character" w:customStyle="1" w:styleId="EcoHeading1Char">
    <w:name w:val="Eco_Heading1 Char"/>
    <w:link w:val="EcoHeading1"/>
    <w:rsid w:val="0089209C"/>
    <w:rPr>
      <w:rFonts w:ascii="Arial" w:hAnsi="Arial"/>
      <w:b/>
      <w:bCs/>
      <w:color w:val="D6A461" w:themeColor="text2"/>
      <w:sz w:val="28"/>
      <w:szCs w:val="28"/>
      <w:lang w:val="en-GB"/>
    </w:rPr>
  </w:style>
  <w:style w:type="paragraph" w:customStyle="1" w:styleId="EcoSubTitle">
    <w:name w:val="Eco_SubTitle"/>
    <w:basedOn w:val="EcoPubTitle"/>
    <w:link w:val="EcoSubTitleChar"/>
    <w:autoRedefine/>
    <w:qFormat/>
    <w:rsid w:val="00E61208"/>
    <w:rPr>
      <w:sz w:val="36"/>
      <w:szCs w:val="36"/>
    </w:rPr>
  </w:style>
  <w:style w:type="paragraph" w:customStyle="1" w:styleId="EnvTableChartTitleNumber">
    <w:name w:val="Env_Table/Chart_Title_Number"/>
    <w:basedOn w:val="EnvTableChartTitle0"/>
    <w:link w:val="EnvTableChartTitleNumberChar"/>
    <w:autoRedefine/>
    <w:rsid w:val="00057868"/>
    <w:rPr>
      <w:rFonts w:ascii="Tahoma" w:hAnsi="Tahoma"/>
      <w:color w:val="595959"/>
    </w:rPr>
  </w:style>
  <w:style w:type="character" w:customStyle="1" w:styleId="EcoSubTitleChar">
    <w:name w:val="Eco_SubTitle Char"/>
    <w:link w:val="EcoSubTitle"/>
    <w:rsid w:val="00E61208"/>
    <w:rPr>
      <w:rFonts w:ascii="Arial" w:eastAsia="MS Gothic" w:hAnsi="Arial"/>
      <w:b/>
      <w:bCs/>
      <w:noProof/>
      <w:color w:val="A2AC72"/>
      <w:spacing w:val="-10"/>
      <w:kern w:val="28"/>
      <w:sz w:val="36"/>
      <w:szCs w:val="36"/>
      <w:lang w:bidi="ar-AE"/>
    </w:rPr>
  </w:style>
  <w:style w:type="paragraph" w:customStyle="1" w:styleId="EcoTableChartTitles">
    <w:name w:val="Eco_Table/Chart_Titles"/>
    <w:link w:val="EcoTableChartTitlesChar"/>
    <w:autoRedefine/>
    <w:qFormat/>
    <w:rsid w:val="00D409A6"/>
    <w:pPr>
      <w:spacing w:after="120" w:line="360" w:lineRule="auto"/>
    </w:pPr>
    <w:rPr>
      <w:rFonts w:ascii="Arial" w:eastAsia="Tahoma" w:hAnsi="Arial"/>
      <w:color w:val="595959"/>
      <w:sz w:val="22"/>
      <w:szCs w:val="22"/>
      <w:lang w:bidi="ar-AE"/>
    </w:rPr>
  </w:style>
  <w:style w:type="character" w:customStyle="1" w:styleId="EnvTableChartTitleNumberChar">
    <w:name w:val="Env_Table/Chart_Title_Number Char"/>
    <w:link w:val="EnvTableChartTitleNumber"/>
    <w:rsid w:val="00057868"/>
    <w:rPr>
      <w:rFonts w:ascii="Arial" w:eastAsia="Tahoma" w:hAnsi="Arial" w:cs="Times New Roman"/>
      <w:b/>
      <w:bCs/>
      <w:color w:val="929292"/>
      <w:sz w:val="28"/>
      <w:szCs w:val="28"/>
      <w:lang w:val="x-none" w:eastAsia="x-none" w:bidi="ar-AE"/>
    </w:rPr>
  </w:style>
  <w:style w:type="character" w:customStyle="1" w:styleId="EcoTableChartTitlesChar">
    <w:name w:val="Eco_Table/Chart_Titles Char"/>
    <w:link w:val="EcoTableChartTitles"/>
    <w:rsid w:val="00D409A6"/>
    <w:rPr>
      <w:rFonts w:ascii="Arial" w:eastAsia="Tahoma" w:hAnsi="Arial"/>
      <w:color w:val="595959"/>
      <w:sz w:val="22"/>
      <w:szCs w:val="22"/>
      <w:lang w:bidi="ar-AE"/>
    </w:rPr>
  </w:style>
  <w:style w:type="paragraph" w:customStyle="1" w:styleId="Eco2ndColumnHeaders">
    <w:name w:val="Eco_2nd_Column_Headers"/>
    <w:basedOn w:val="EcoTableRowHeader"/>
    <w:link w:val="Eco2ndColumnHeadersChar"/>
    <w:autoRedefine/>
    <w:qFormat/>
    <w:rsid w:val="00267C12"/>
    <w:pPr>
      <w:bidi/>
      <w:jc w:val="right"/>
    </w:pPr>
  </w:style>
  <w:style w:type="paragraph" w:customStyle="1" w:styleId="EcoTableCategoryColumn">
    <w:name w:val="Eco_Table_Category_Column"/>
    <w:basedOn w:val="EcoTableBody"/>
    <w:link w:val="EcoTableCategoryColumnChar"/>
    <w:autoRedefine/>
    <w:qFormat/>
    <w:rsid w:val="007705C5"/>
    <w:pPr>
      <w:bidi w:val="0"/>
      <w:jc w:val="left"/>
    </w:pPr>
  </w:style>
  <w:style w:type="character" w:customStyle="1" w:styleId="Eco2ndColumnHeadersChar">
    <w:name w:val="Eco_2nd_Column_Headers Char"/>
    <w:link w:val="Eco2ndColumnHeaders"/>
    <w:rsid w:val="00267C12"/>
    <w:rPr>
      <w:rFonts w:ascii="Arial" w:hAnsi="Arial"/>
      <w:b/>
      <w:bCs/>
      <w:color w:val="FFFFFF"/>
      <w:sz w:val="20"/>
      <w:szCs w:val="20"/>
    </w:rPr>
  </w:style>
  <w:style w:type="paragraph" w:customStyle="1" w:styleId="EcoTableMainCategory">
    <w:name w:val="Eco_Table_Main_Category"/>
    <w:basedOn w:val="EcoTableCategoryColumn"/>
    <w:link w:val="EcoTableMainCategoryChar"/>
    <w:autoRedefine/>
    <w:qFormat/>
    <w:rsid w:val="00BA036B"/>
    <w:rPr>
      <w:b/>
      <w:bCs/>
    </w:rPr>
  </w:style>
  <w:style w:type="character" w:customStyle="1" w:styleId="EcoTableCategoryColumnChar">
    <w:name w:val="Eco_Table_Category_Column Char"/>
    <w:link w:val="EcoTableCategoryColumn"/>
    <w:rsid w:val="007705C5"/>
    <w:rPr>
      <w:rFonts w:ascii="Arial" w:hAnsi="Arial"/>
      <w:color w:val="595959"/>
    </w:rPr>
  </w:style>
  <w:style w:type="paragraph" w:customStyle="1" w:styleId="EcoTableChartNotes">
    <w:name w:val="Eco_Table/Chart_Notes"/>
    <w:basedOn w:val="EcoSourceNote"/>
    <w:link w:val="EcoTableChartNotesChar"/>
    <w:autoRedefine/>
    <w:qFormat/>
    <w:rsid w:val="00BA036B"/>
    <w:rPr>
      <w:color w:val="8A1E04"/>
    </w:rPr>
  </w:style>
  <w:style w:type="character" w:customStyle="1" w:styleId="EcoTableMainCategoryChar">
    <w:name w:val="Eco_Table_Main_Category Char"/>
    <w:link w:val="EcoTableMainCategory"/>
    <w:rsid w:val="00BA036B"/>
    <w:rPr>
      <w:rFonts w:ascii="Arial" w:hAnsi="Arial"/>
      <w:b/>
      <w:bCs/>
      <w:color w:val="595959"/>
      <w:sz w:val="20"/>
      <w:szCs w:val="20"/>
    </w:rPr>
  </w:style>
  <w:style w:type="character" w:customStyle="1" w:styleId="EcoTableChartNotesChar">
    <w:name w:val="Eco_Table/Chart_Notes Char"/>
    <w:link w:val="EcoTableChartNotes"/>
    <w:rsid w:val="00BA036B"/>
    <w:rPr>
      <w:rFonts w:ascii="Arial" w:hAnsi="Arial"/>
      <w:color w:val="8A1E04"/>
      <w:sz w:val="16"/>
      <w:szCs w:val="16"/>
      <w:lang w:val="en-GB" w:eastAsia="en-GB"/>
    </w:rPr>
  </w:style>
  <w:style w:type="table" w:styleId="PlainTable5">
    <w:name w:val="Plain Table 5"/>
    <w:basedOn w:val="TableNormal"/>
    <w:uiPriority w:val="99"/>
    <w:rsid w:val="00F23655"/>
    <w:tblPr>
      <w:tblStyleRowBandSize w:val="1"/>
      <w:tblStyleColBandSize w:val="1"/>
    </w:tblPr>
    <w:tblStylePr w:type="firstRow">
      <w:rPr>
        <w:rFonts w:ascii="Arial" w:eastAsia="MS Gothic" w:hAnsi="Arial" w:cs="Cambria"/>
        <w:i/>
        <w:iCs/>
        <w:sz w:val="26"/>
      </w:rPr>
      <w:tblPr/>
      <w:tcPr>
        <w:tcBorders>
          <w:bottom w:val="single" w:sz="4" w:space="0" w:color="ABABAB"/>
        </w:tcBorders>
        <w:shd w:val="clear" w:color="auto" w:fill="FFFFFF"/>
      </w:tcPr>
    </w:tblStylePr>
    <w:tblStylePr w:type="lastRow">
      <w:rPr>
        <w:rFonts w:ascii="Arial" w:eastAsia="MS Gothic" w:hAnsi="Arial" w:cs="Cambria"/>
        <w:i/>
        <w:iCs/>
        <w:sz w:val="26"/>
      </w:rPr>
      <w:tblPr/>
      <w:tcPr>
        <w:tcBorders>
          <w:top w:val="single" w:sz="4" w:space="0" w:color="ABABAB"/>
        </w:tcBorders>
        <w:shd w:val="clear" w:color="auto" w:fill="FFFFFF"/>
      </w:tcPr>
    </w:tblStylePr>
    <w:tblStylePr w:type="firstCol">
      <w:pPr>
        <w:jc w:val="right"/>
      </w:pPr>
      <w:rPr>
        <w:rFonts w:ascii="Arial" w:eastAsia="MS Gothic" w:hAnsi="Arial" w:cs="Cambria"/>
        <w:i/>
        <w:iCs/>
        <w:sz w:val="26"/>
      </w:rPr>
      <w:tblPr/>
      <w:tcPr>
        <w:tcBorders>
          <w:right w:val="single" w:sz="4" w:space="0" w:color="ABABAB"/>
        </w:tcBorders>
        <w:shd w:val="clear" w:color="auto" w:fill="FFFFFF"/>
      </w:tcPr>
    </w:tblStylePr>
    <w:tblStylePr w:type="lastCol">
      <w:rPr>
        <w:rFonts w:ascii="Arial" w:eastAsia="MS Gothic" w:hAnsi="Arial" w:cs="Cambria"/>
        <w:i/>
        <w:iCs/>
        <w:sz w:val="26"/>
      </w:rPr>
      <w:tblPr/>
      <w:tcPr>
        <w:tcBorders>
          <w:left w:val="single" w:sz="4" w:space="0" w:color="ABABAB"/>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EnvTableContentIndex">
    <w:name w:val="Env_Table_Content_Index"/>
    <w:basedOn w:val="TableNormal"/>
    <w:uiPriority w:val="99"/>
    <w:rsid w:val="00CF4161"/>
    <w:tblPr/>
  </w:style>
  <w:style w:type="paragraph" w:styleId="TOC4">
    <w:name w:val="toc 4"/>
    <w:basedOn w:val="Normal"/>
    <w:next w:val="Normal"/>
    <w:autoRedefine/>
    <w:uiPriority w:val="39"/>
    <w:unhideWhenUsed/>
    <w:rsid w:val="00CF4161"/>
    <w:pPr>
      <w:spacing w:after="0"/>
      <w:ind w:left="660"/>
    </w:pPr>
    <w:rPr>
      <w:rFonts w:ascii="Arial" w:hAnsi="Arial"/>
      <w:sz w:val="18"/>
      <w:szCs w:val="21"/>
    </w:rPr>
  </w:style>
  <w:style w:type="paragraph" w:styleId="TOC5">
    <w:name w:val="toc 5"/>
    <w:basedOn w:val="Normal"/>
    <w:next w:val="Normal"/>
    <w:autoRedefine/>
    <w:uiPriority w:val="39"/>
    <w:unhideWhenUsed/>
    <w:rsid w:val="00CF4161"/>
    <w:pPr>
      <w:spacing w:after="0"/>
      <w:ind w:left="880"/>
    </w:pPr>
    <w:rPr>
      <w:rFonts w:ascii="Arial" w:hAnsi="Arial"/>
      <w:sz w:val="18"/>
      <w:szCs w:val="21"/>
    </w:rPr>
  </w:style>
  <w:style w:type="paragraph" w:styleId="TOC6">
    <w:name w:val="toc 6"/>
    <w:basedOn w:val="Normal"/>
    <w:next w:val="Normal"/>
    <w:autoRedefine/>
    <w:uiPriority w:val="39"/>
    <w:unhideWhenUsed/>
    <w:rsid w:val="00CF4161"/>
    <w:pPr>
      <w:spacing w:after="0"/>
      <w:ind w:left="1100"/>
    </w:pPr>
    <w:rPr>
      <w:rFonts w:ascii="Arial" w:hAnsi="Arial"/>
      <w:sz w:val="18"/>
      <w:szCs w:val="21"/>
    </w:rPr>
  </w:style>
  <w:style w:type="paragraph" w:styleId="TOC7">
    <w:name w:val="toc 7"/>
    <w:basedOn w:val="Normal"/>
    <w:next w:val="Normal"/>
    <w:autoRedefine/>
    <w:uiPriority w:val="39"/>
    <w:unhideWhenUsed/>
    <w:rsid w:val="00CF4161"/>
    <w:pPr>
      <w:spacing w:after="0"/>
      <w:ind w:left="1320"/>
    </w:pPr>
    <w:rPr>
      <w:rFonts w:ascii="Arial" w:hAnsi="Arial"/>
      <w:sz w:val="18"/>
      <w:szCs w:val="21"/>
    </w:rPr>
  </w:style>
  <w:style w:type="paragraph" w:styleId="TOC8">
    <w:name w:val="toc 8"/>
    <w:basedOn w:val="Normal"/>
    <w:next w:val="Normal"/>
    <w:autoRedefine/>
    <w:uiPriority w:val="39"/>
    <w:unhideWhenUsed/>
    <w:rsid w:val="00CF4161"/>
    <w:pPr>
      <w:spacing w:after="0"/>
      <w:ind w:left="1540"/>
    </w:pPr>
    <w:rPr>
      <w:rFonts w:ascii="Arial" w:hAnsi="Arial"/>
      <w:sz w:val="18"/>
      <w:szCs w:val="21"/>
    </w:rPr>
  </w:style>
  <w:style w:type="paragraph" w:styleId="TOC9">
    <w:name w:val="toc 9"/>
    <w:basedOn w:val="Normal"/>
    <w:next w:val="Normal"/>
    <w:autoRedefine/>
    <w:uiPriority w:val="39"/>
    <w:unhideWhenUsed/>
    <w:rsid w:val="00CF4161"/>
    <w:pPr>
      <w:spacing w:after="0"/>
      <w:ind w:left="1760"/>
    </w:pPr>
    <w:rPr>
      <w:rFonts w:ascii="Arial" w:hAnsi="Arial"/>
      <w:sz w:val="18"/>
      <w:szCs w:val="21"/>
    </w:rPr>
  </w:style>
  <w:style w:type="paragraph" w:customStyle="1" w:styleId="EnvNormal0">
    <w:name w:val="Env_Normal"/>
    <w:basedOn w:val="Normal"/>
    <w:link w:val="EnvNormalChar0"/>
    <w:rsid w:val="001352F1"/>
    <w:pPr>
      <w:bidi/>
      <w:spacing w:line="360" w:lineRule="auto"/>
      <w:jc w:val="both"/>
    </w:pPr>
    <w:rPr>
      <w:rFonts w:ascii="Arial" w:hAnsi="Arial" w:cs="Tahoma"/>
      <w:color w:val="595959"/>
      <w:sz w:val="20"/>
      <w:szCs w:val="20"/>
    </w:rPr>
  </w:style>
  <w:style w:type="character" w:customStyle="1" w:styleId="EnvNormalChar0">
    <w:name w:val="Env_Normal Char"/>
    <w:link w:val="EnvNormal0"/>
    <w:rsid w:val="001352F1"/>
    <w:rPr>
      <w:rFonts w:ascii="Arial" w:hAnsi="Arial"/>
      <w:color w:val="595959"/>
    </w:rPr>
  </w:style>
  <w:style w:type="paragraph" w:customStyle="1" w:styleId="EnvTableTotal0">
    <w:name w:val="Env_Table_Total"/>
    <w:basedOn w:val="Normal"/>
    <w:link w:val="EnvTableTotalChar0"/>
    <w:autoRedefine/>
    <w:rsid w:val="001352F1"/>
    <w:pPr>
      <w:bidi/>
      <w:spacing w:after="0" w:line="240" w:lineRule="auto"/>
    </w:pPr>
    <w:rPr>
      <w:rFonts w:ascii="Arial" w:hAnsi="Arial" w:cs="Tahoma"/>
      <w:b/>
      <w:bCs/>
      <w:color w:val="595959"/>
      <w:sz w:val="20"/>
      <w:szCs w:val="20"/>
    </w:rPr>
  </w:style>
  <w:style w:type="character" w:customStyle="1" w:styleId="EnvTableTotalChar0">
    <w:name w:val="Env_Table_Total Char"/>
    <w:link w:val="EnvTableTotal0"/>
    <w:rsid w:val="001352F1"/>
    <w:rPr>
      <w:rFonts w:ascii="Arial" w:hAnsi="Arial"/>
      <w:b/>
      <w:bCs/>
      <w:color w:val="595959"/>
    </w:rPr>
  </w:style>
  <w:style w:type="paragraph" w:customStyle="1" w:styleId="EnvPubSubtitle">
    <w:name w:val="Env_Pub_Subtitle"/>
    <w:basedOn w:val="Normal"/>
    <w:link w:val="EnvPubSubtitleChar"/>
    <w:rsid w:val="001352F1"/>
    <w:pPr>
      <w:bidi/>
      <w:spacing w:after="0" w:line="240" w:lineRule="auto"/>
      <w:contextualSpacing/>
      <w:jc w:val="center"/>
    </w:pPr>
    <w:rPr>
      <w:rFonts w:ascii="Arial" w:eastAsia="MS Gothic" w:hAnsi="Arial" w:cs="Tahoma"/>
      <w:b/>
      <w:bCs/>
      <w:noProof/>
      <w:color w:val="308C6B"/>
      <w:spacing w:val="-10"/>
      <w:kern w:val="28"/>
      <w:sz w:val="36"/>
      <w:szCs w:val="36"/>
      <w:lang w:bidi="ar-AE"/>
    </w:rPr>
  </w:style>
  <w:style w:type="character" w:customStyle="1" w:styleId="EnvPubSubtitleChar">
    <w:name w:val="Env_Pub_Subtitle Char"/>
    <w:link w:val="EnvPubSubtitle"/>
    <w:rsid w:val="001352F1"/>
    <w:rPr>
      <w:rFonts w:ascii="Arial" w:eastAsia="MS Gothic" w:hAnsi="Arial"/>
      <w:b/>
      <w:bCs/>
      <w:noProof/>
      <w:color w:val="308C6B"/>
      <w:spacing w:val="-10"/>
      <w:kern w:val="28"/>
      <w:sz w:val="36"/>
      <w:szCs w:val="36"/>
      <w:lang w:bidi="ar-AE"/>
    </w:rPr>
  </w:style>
  <w:style w:type="table" w:customStyle="1" w:styleId="EcoTable">
    <w:name w:val="Eco_Table"/>
    <w:basedOn w:val="TableNormal"/>
    <w:uiPriority w:val="99"/>
    <w:rsid w:val="003F3C88"/>
    <w:rPr>
      <w:rFonts w:ascii="Arial" w:hAnsi="Arial"/>
      <w:color w:val="595959"/>
    </w:rPr>
    <w:tblPr>
      <w:tblBorders>
        <w:bottom w:val="single" w:sz="4" w:space="0" w:color="D6A461" w:themeColor="text2"/>
      </w:tblBorders>
    </w:tblPr>
    <w:tblStylePr w:type="firstRow">
      <w:rPr>
        <w:rFonts w:ascii="Arial" w:hAnsi="Arial" w:cs="Cambria"/>
        <w:color w:val="FFFFFF" w:themeColor="background1"/>
      </w:rPr>
      <w:tblPr/>
      <w:tcPr>
        <w:shd w:val="clear" w:color="auto" w:fill="D6A461" w:themeFill="text2"/>
      </w:tcPr>
    </w:tblStylePr>
  </w:style>
  <w:style w:type="paragraph" w:styleId="NormalWeb">
    <w:name w:val="Normal (Web)"/>
    <w:basedOn w:val="Normal"/>
    <w:uiPriority w:val="99"/>
    <w:semiHidden/>
    <w:unhideWhenUsed/>
    <w:rsid w:val="00117AE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800">
      <w:bodyDiv w:val="1"/>
      <w:marLeft w:val="0"/>
      <w:marRight w:val="0"/>
      <w:marTop w:val="0"/>
      <w:marBottom w:val="0"/>
      <w:divBdr>
        <w:top w:val="none" w:sz="0" w:space="0" w:color="auto"/>
        <w:left w:val="none" w:sz="0" w:space="0" w:color="auto"/>
        <w:bottom w:val="none" w:sz="0" w:space="0" w:color="auto"/>
        <w:right w:val="none" w:sz="0" w:space="0" w:color="auto"/>
      </w:divBdr>
    </w:div>
    <w:div w:id="14113639">
      <w:bodyDiv w:val="1"/>
      <w:marLeft w:val="0"/>
      <w:marRight w:val="0"/>
      <w:marTop w:val="0"/>
      <w:marBottom w:val="0"/>
      <w:divBdr>
        <w:top w:val="none" w:sz="0" w:space="0" w:color="auto"/>
        <w:left w:val="none" w:sz="0" w:space="0" w:color="auto"/>
        <w:bottom w:val="none" w:sz="0" w:space="0" w:color="auto"/>
        <w:right w:val="none" w:sz="0" w:space="0" w:color="auto"/>
      </w:divBdr>
    </w:div>
    <w:div w:id="46607047">
      <w:bodyDiv w:val="1"/>
      <w:marLeft w:val="0"/>
      <w:marRight w:val="0"/>
      <w:marTop w:val="0"/>
      <w:marBottom w:val="0"/>
      <w:divBdr>
        <w:top w:val="none" w:sz="0" w:space="0" w:color="auto"/>
        <w:left w:val="none" w:sz="0" w:space="0" w:color="auto"/>
        <w:bottom w:val="none" w:sz="0" w:space="0" w:color="auto"/>
        <w:right w:val="none" w:sz="0" w:space="0" w:color="auto"/>
      </w:divBdr>
    </w:div>
    <w:div w:id="47919683">
      <w:bodyDiv w:val="1"/>
      <w:marLeft w:val="0"/>
      <w:marRight w:val="0"/>
      <w:marTop w:val="0"/>
      <w:marBottom w:val="0"/>
      <w:divBdr>
        <w:top w:val="none" w:sz="0" w:space="0" w:color="auto"/>
        <w:left w:val="none" w:sz="0" w:space="0" w:color="auto"/>
        <w:bottom w:val="none" w:sz="0" w:space="0" w:color="auto"/>
        <w:right w:val="none" w:sz="0" w:space="0" w:color="auto"/>
      </w:divBdr>
    </w:div>
    <w:div w:id="61609463">
      <w:bodyDiv w:val="1"/>
      <w:marLeft w:val="0"/>
      <w:marRight w:val="0"/>
      <w:marTop w:val="0"/>
      <w:marBottom w:val="0"/>
      <w:divBdr>
        <w:top w:val="none" w:sz="0" w:space="0" w:color="auto"/>
        <w:left w:val="none" w:sz="0" w:space="0" w:color="auto"/>
        <w:bottom w:val="none" w:sz="0" w:space="0" w:color="auto"/>
        <w:right w:val="none" w:sz="0" w:space="0" w:color="auto"/>
      </w:divBdr>
    </w:div>
    <w:div w:id="65037966">
      <w:bodyDiv w:val="1"/>
      <w:marLeft w:val="0"/>
      <w:marRight w:val="0"/>
      <w:marTop w:val="0"/>
      <w:marBottom w:val="0"/>
      <w:divBdr>
        <w:top w:val="none" w:sz="0" w:space="0" w:color="auto"/>
        <w:left w:val="none" w:sz="0" w:space="0" w:color="auto"/>
        <w:bottom w:val="none" w:sz="0" w:space="0" w:color="auto"/>
        <w:right w:val="none" w:sz="0" w:space="0" w:color="auto"/>
      </w:divBdr>
    </w:div>
    <w:div w:id="86123195">
      <w:bodyDiv w:val="1"/>
      <w:marLeft w:val="0"/>
      <w:marRight w:val="0"/>
      <w:marTop w:val="0"/>
      <w:marBottom w:val="0"/>
      <w:divBdr>
        <w:top w:val="none" w:sz="0" w:space="0" w:color="auto"/>
        <w:left w:val="none" w:sz="0" w:space="0" w:color="auto"/>
        <w:bottom w:val="none" w:sz="0" w:space="0" w:color="auto"/>
        <w:right w:val="none" w:sz="0" w:space="0" w:color="auto"/>
      </w:divBdr>
    </w:div>
    <w:div w:id="133839228">
      <w:bodyDiv w:val="1"/>
      <w:marLeft w:val="0"/>
      <w:marRight w:val="0"/>
      <w:marTop w:val="0"/>
      <w:marBottom w:val="0"/>
      <w:divBdr>
        <w:top w:val="none" w:sz="0" w:space="0" w:color="auto"/>
        <w:left w:val="none" w:sz="0" w:space="0" w:color="auto"/>
        <w:bottom w:val="none" w:sz="0" w:space="0" w:color="auto"/>
        <w:right w:val="none" w:sz="0" w:space="0" w:color="auto"/>
      </w:divBdr>
    </w:div>
    <w:div w:id="147868633">
      <w:bodyDiv w:val="1"/>
      <w:marLeft w:val="0"/>
      <w:marRight w:val="0"/>
      <w:marTop w:val="0"/>
      <w:marBottom w:val="0"/>
      <w:divBdr>
        <w:top w:val="none" w:sz="0" w:space="0" w:color="auto"/>
        <w:left w:val="none" w:sz="0" w:space="0" w:color="auto"/>
        <w:bottom w:val="none" w:sz="0" w:space="0" w:color="auto"/>
        <w:right w:val="none" w:sz="0" w:space="0" w:color="auto"/>
      </w:divBdr>
    </w:div>
    <w:div w:id="150486996">
      <w:bodyDiv w:val="1"/>
      <w:marLeft w:val="0"/>
      <w:marRight w:val="0"/>
      <w:marTop w:val="0"/>
      <w:marBottom w:val="0"/>
      <w:divBdr>
        <w:top w:val="none" w:sz="0" w:space="0" w:color="auto"/>
        <w:left w:val="none" w:sz="0" w:space="0" w:color="auto"/>
        <w:bottom w:val="none" w:sz="0" w:space="0" w:color="auto"/>
        <w:right w:val="none" w:sz="0" w:space="0" w:color="auto"/>
      </w:divBdr>
    </w:div>
    <w:div w:id="153617990">
      <w:bodyDiv w:val="1"/>
      <w:marLeft w:val="0"/>
      <w:marRight w:val="0"/>
      <w:marTop w:val="0"/>
      <w:marBottom w:val="0"/>
      <w:divBdr>
        <w:top w:val="none" w:sz="0" w:space="0" w:color="auto"/>
        <w:left w:val="none" w:sz="0" w:space="0" w:color="auto"/>
        <w:bottom w:val="none" w:sz="0" w:space="0" w:color="auto"/>
        <w:right w:val="none" w:sz="0" w:space="0" w:color="auto"/>
      </w:divBdr>
    </w:div>
    <w:div w:id="158081109">
      <w:bodyDiv w:val="1"/>
      <w:marLeft w:val="0"/>
      <w:marRight w:val="0"/>
      <w:marTop w:val="0"/>
      <w:marBottom w:val="0"/>
      <w:divBdr>
        <w:top w:val="none" w:sz="0" w:space="0" w:color="auto"/>
        <w:left w:val="none" w:sz="0" w:space="0" w:color="auto"/>
        <w:bottom w:val="none" w:sz="0" w:space="0" w:color="auto"/>
        <w:right w:val="none" w:sz="0" w:space="0" w:color="auto"/>
      </w:divBdr>
    </w:div>
    <w:div w:id="242104492">
      <w:bodyDiv w:val="1"/>
      <w:marLeft w:val="0"/>
      <w:marRight w:val="0"/>
      <w:marTop w:val="0"/>
      <w:marBottom w:val="0"/>
      <w:divBdr>
        <w:top w:val="none" w:sz="0" w:space="0" w:color="auto"/>
        <w:left w:val="none" w:sz="0" w:space="0" w:color="auto"/>
        <w:bottom w:val="none" w:sz="0" w:space="0" w:color="auto"/>
        <w:right w:val="none" w:sz="0" w:space="0" w:color="auto"/>
      </w:divBdr>
    </w:div>
    <w:div w:id="268054419">
      <w:bodyDiv w:val="1"/>
      <w:marLeft w:val="0"/>
      <w:marRight w:val="0"/>
      <w:marTop w:val="0"/>
      <w:marBottom w:val="0"/>
      <w:divBdr>
        <w:top w:val="none" w:sz="0" w:space="0" w:color="auto"/>
        <w:left w:val="none" w:sz="0" w:space="0" w:color="auto"/>
        <w:bottom w:val="none" w:sz="0" w:space="0" w:color="auto"/>
        <w:right w:val="none" w:sz="0" w:space="0" w:color="auto"/>
      </w:divBdr>
    </w:div>
    <w:div w:id="274216632">
      <w:bodyDiv w:val="1"/>
      <w:marLeft w:val="0"/>
      <w:marRight w:val="0"/>
      <w:marTop w:val="0"/>
      <w:marBottom w:val="0"/>
      <w:divBdr>
        <w:top w:val="none" w:sz="0" w:space="0" w:color="auto"/>
        <w:left w:val="none" w:sz="0" w:space="0" w:color="auto"/>
        <w:bottom w:val="none" w:sz="0" w:space="0" w:color="auto"/>
        <w:right w:val="none" w:sz="0" w:space="0" w:color="auto"/>
      </w:divBdr>
    </w:div>
    <w:div w:id="275523191">
      <w:bodyDiv w:val="1"/>
      <w:marLeft w:val="0"/>
      <w:marRight w:val="0"/>
      <w:marTop w:val="0"/>
      <w:marBottom w:val="0"/>
      <w:divBdr>
        <w:top w:val="none" w:sz="0" w:space="0" w:color="auto"/>
        <w:left w:val="none" w:sz="0" w:space="0" w:color="auto"/>
        <w:bottom w:val="none" w:sz="0" w:space="0" w:color="auto"/>
        <w:right w:val="none" w:sz="0" w:space="0" w:color="auto"/>
      </w:divBdr>
    </w:div>
    <w:div w:id="284388634">
      <w:bodyDiv w:val="1"/>
      <w:marLeft w:val="0"/>
      <w:marRight w:val="0"/>
      <w:marTop w:val="0"/>
      <w:marBottom w:val="0"/>
      <w:divBdr>
        <w:top w:val="none" w:sz="0" w:space="0" w:color="auto"/>
        <w:left w:val="none" w:sz="0" w:space="0" w:color="auto"/>
        <w:bottom w:val="none" w:sz="0" w:space="0" w:color="auto"/>
        <w:right w:val="none" w:sz="0" w:space="0" w:color="auto"/>
      </w:divBdr>
    </w:div>
    <w:div w:id="286158163">
      <w:bodyDiv w:val="1"/>
      <w:marLeft w:val="0"/>
      <w:marRight w:val="0"/>
      <w:marTop w:val="0"/>
      <w:marBottom w:val="0"/>
      <w:divBdr>
        <w:top w:val="none" w:sz="0" w:space="0" w:color="auto"/>
        <w:left w:val="none" w:sz="0" w:space="0" w:color="auto"/>
        <w:bottom w:val="none" w:sz="0" w:space="0" w:color="auto"/>
        <w:right w:val="none" w:sz="0" w:space="0" w:color="auto"/>
      </w:divBdr>
    </w:div>
    <w:div w:id="291057828">
      <w:bodyDiv w:val="1"/>
      <w:marLeft w:val="0"/>
      <w:marRight w:val="0"/>
      <w:marTop w:val="0"/>
      <w:marBottom w:val="0"/>
      <w:divBdr>
        <w:top w:val="none" w:sz="0" w:space="0" w:color="auto"/>
        <w:left w:val="none" w:sz="0" w:space="0" w:color="auto"/>
        <w:bottom w:val="none" w:sz="0" w:space="0" w:color="auto"/>
        <w:right w:val="none" w:sz="0" w:space="0" w:color="auto"/>
      </w:divBdr>
    </w:div>
    <w:div w:id="296882621">
      <w:bodyDiv w:val="1"/>
      <w:marLeft w:val="0"/>
      <w:marRight w:val="0"/>
      <w:marTop w:val="0"/>
      <w:marBottom w:val="0"/>
      <w:divBdr>
        <w:top w:val="none" w:sz="0" w:space="0" w:color="auto"/>
        <w:left w:val="none" w:sz="0" w:space="0" w:color="auto"/>
        <w:bottom w:val="none" w:sz="0" w:space="0" w:color="auto"/>
        <w:right w:val="none" w:sz="0" w:space="0" w:color="auto"/>
      </w:divBdr>
    </w:div>
    <w:div w:id="327173965">
      <w:bodyDiv w:val="1"/>
      <w:marLeft w:val="0"/>
      <w:marRight w:val="0"/>
      <w:marTop w:val="0"/>
      <w:marBottom w:val="0"/>
      <w:divBdr>
        <w:top w:val="none" w:sz="0" w:space="0" w:color="auto"/>
        <w:left w:val="none" w:sz="0" w:space="0" w:color="auto"/>
        <w:bottom w:val="none" w:sz="0" w:space="0" w:color="auto"/>
        <w:right w:val="none" w:sz="0" w:space="0" w:color="auto"/>
      </w:divBdr>
    </w:div>
    <w:div w:id="346099220">
      <w:bodyDiv w:val="1"/>
      <w:marLeft w:val="0"/>
      <w:marRight w:val="0"/>
      <w:marTop w:val="0"/>
      <w:marBottom w:val="0"/>
      <w:divBdr>
        <w:top w:val="none" w:sz="0" w:space="0" w:color="auto"/>
        <w:left w:val="none" w:sz="0" w:space="0" w:color="auto"/>
        <w:bottom w:val="none" w:sz="0" w:space="0" w:color="auto"/>
        <w:right w:val="none" w:sz="0" w:space="0" w:color="auto"/>
      </w:divBdr>
    </w:div>
    <w:div w:id="389380724">
      <w:bodyDiv w:val="1"/>
      <w:marLeft w:val="0"/>
      <w:marRight w:val="0"/>
      <w:marTop w:val="0"/>
      <w:marBottom w:val="0"/>
      <w:divBdr>
        <w:top w:val="none" w:sz="0" w:space="0" w:color="auto"/>
        <w:left w:val="none" w:sz="0" w:space="0" w:color="auto"/>
        <w:bottom w:val="none" w:sz="0" w:space="0" w:color="auto"/>
        <w:right w:val="none" w:sz="0" w:space="0" w:color="auto"/>
      </w:divBdr>
    </w:div>
    <w:div w:id="395206179">
      <w:bodyDiv w:val="1"/>
      <w:marLeft w:val="0"/>
      <w:marRight w:val="0"/>
      <w:marTop w:val="0"/>
      <w:marBottom w:val="0"/>
      <w:divBdr>
        <w:top w:val="none" w:sz="0" w:space="0" w:color="auto"/>
        <w:left w:val="none" w:sz="0" w:space="0" w:color="auto"/>
        <w:bottom w:val="none" w:sz="0" w:space="0" w:color="auto"/>
        <w:right w:val="none" w:sz="0" w:space="0" w:color="auto"/>
      </w:divBdr>
    </w:div>
    <w:div w:id="403996352">
      <w:bodyDiv w:val="1"/>
      <w:marLeft w:val="0"/>
      <w:marRight w:val="0"/>
      <w:marTop w:val="0"/>
      <w:marBottom w:val="0"/>
      <w:divBdr>
        <w:top w:val="none" w:sz="0" w:space="0" w:color="auto"/>
        <w:left w:val="none" w:sz="0" w:space="0" w:color="auto"/>
        <w:bottom w:val="none" w:sz="0" w:space="0" w:color="auto"/>
        <w:right w:val="none" w:sz="0" w:space="0" w:color="auto"/>
      </w:divBdr>
    </w:div>
    <w:div w:id="408774275">
      <w:bodyDiv w:val="1"/>
      <w:marLeft w:val="0"/>
      <w:marRight w:val="0"/>
      <w:marTop w:val="0"/>
      <w:marBottom w:val="0"/>
      <w:divBdr>
        <w:top w:val="none" w:sz="0" w:space="0" w:color="auto"/>
        <w:left w:val="none" w:sz="0" w:space="0" w:color="auto"/>
        <w:bottom w:val="none" w:sz="0" w:space="0" w:color="auto"/>
        <w:right w:val="none" w:sz="0" w:space="0" w:color="auto"/>
      </w:divBdr>
    </w:div>
    <w:div w:id="440730238">
      <w:bodyDiv w:val="1"/>
      <w:marLeft w:val="0"/>
      <w:marRight w:val="0"/>
      <w:marTop w:val="0"/>
      <w:marBottom w:val="0"/>
      <w:divBdr>
        <w:top w:val="none" w:sz="0" w:space="0" w:color="auto"/>
        <w:left w:val="none" w:sz="0" w:space="0" w:color="auto"/>
        <w:bottom w:val="none" w:sz="0" w:space="0" w:color="auto"/>
        <w:right w:val="none" w:sz="0" w:space="0" w:color="auto"/>
      </w:divBdr>
    </w:div>
    <w:div w:id="467287836">
      <w:bodyDiv w:val="1"/>
      <w:marLeft w:val="0"/>
      <w:marRight w:val="0"/>
      <w:marTop w:val="0"/>
      <w:marBottom w:val="0"/>
      <w:divBdr>
        <w:top w:val="none" w:sz="0" w:space="0" w:color="auto"/>
        <w:left w:val="none" w:sz="0" w:space="0" w:color="auto"/>
        <w:bottom w:val="none" w:sz="0" w:space="0" w:color="auto"/>
        <w:right w:val="none" w:sz="0" w:space="0" w:color="auto"/>
      </w:divBdr>
    </w:div>
    <w:div w:id="472408640">
      <w:bodyDiv w:val="1"/>
      <w:marLeft w:val="0"/>
      <w:marRight w:val="0"/>
      <w:marTop w:val="0"/>
      <w:marBottom w:val="0"/>
      <w:divBdr>
        <w:top w:val="none" w:sz="0" w:space="0" w:color="auto"/>
        <w:left w:val="none" w:sz="0" w:space="0" w:color="auto"/>
        <w:bottom w:val="none" w:sz="0" w:space="0" w:color="auto"/>
        <w:right w:val="none" w:sz="0" w:space="0" w:color="auto"/>
      </w:divBdr>
    </w:div>
    <w:div w:id="476262588">
      <w:bodyDiv w:val="1"/>
      <w:marLeft w:val="0"/>
      <w:marRight w:val="0"/>
      <w:marTop w:val="0"/>
      <w:marBottom w:val="0"/>
      <w:divBdr>
        <w:top w:val="none" w:sz="0" w:space="0" w:color="auto"/>
        <w:left w:val="none" w:sz="0" w:space="0" w:color="auto"/>
        <w:bottom w:val="none" w:sz="0" w:space="0" w:color="auto"/>
        <w:right w:val="none" w:sz="0" w:space="0" w:color="auto"/>
      </w:divBdr>
    </w:div>
    <w:div w:id="494611180">
      <w:bodyDiv w:val="1"/>
      <w:marLeft w:val="0"/>
      <w:marRight w:val="0"/>
      <w:marTop w:val="0"/>
      <w:marBottom w:val="0"/>
      <w:divBdr>
        <w:top w:val="none" w:sz="0" w:space="0" w:color="auto"/>
        <w:left w:val="none" w:sz="0" w:space="0" w:color="auto"/>
        <w:bottom w:val="none" w:sz="0" w:space="0" w:color="auto"/>
        <w:right w:val="none" w:sz="0" w:space="0" w:color="auto"/>
      </w:divBdr>
    </w:div>
    <w:div w:id="507210125">
      <w:bodyDiv w:val="1"/>
      <w:marLeft w:val="0"/>
      <w:marRight w:val="0"/>
      <w:marTop w:val="0"/>
      <w:marBottom w:val="0"/>
      <w:divBdr>
        <w:top w:val="none" w:sz="0" w:space="0" w:color="auto"/>
        <w:left w:val="none" w:sz="0" w:space="0" w:color="auto"/>
        <w:bottom w:val="none" w:sz="0" w:space="0" w:color="auto"/>
        <w:right w:val="none" w:sz="0" w:space="0" w:color="auto"/>
      </w:divBdr>
    </w:div>
    <w:div w:id="563107525">
      <w:bodyDiv w:val="1"/>
      <w:marLeft w:val="0"/>
      <w:marRight w:val="0"/>
      <w:marTop w:val="0"/>
      <w:marBottom w:val="0"/>
      <w:divBdr>
        <w:top w:val="none" w:sz="0" w:space="0" w:color="auto"/>
        <w:left w:val="none" w:sz="0" w:space="0" w:color="auto"/>
        <w:bottom w:val="none" w:sz="0" w:space="0" w:color="auto"/>
        <w:right w:val="none" w:sz="0" w:space="0" w:color="auto"/>
      </w:divBdr>
    </w:div>
    <w:div w:id="579557637">
      <w:bodyDiv w:val="1"/>
      <w:marLeft w:val="0"/>
      <w:marRight w:val="0"/>
      <w:marTop w:val="0"/>
      <w:marBottom w:val="0"/>
      <w:divBdr>
        <w:top w:val="none" w:sz="0" w:space="0" w:color="auto"/>
        <w:left w:val="none" w:sz="0" w:space="0" w:color="auto"/>
        <w:bottom w:val="none" w:sz="0" w:space="0" w:color="auto"/>
        <w:right w:val="none" w:sz="0" w:space="0" w:color="auto"/>
      </w:divBdr>
    </w:div>
    <w:div w:id="628509954">
      <w:bodyDiv w:val="1"/>
      <w:marLeft w:val="0"/>
      <w:marRight w:val="0"/>
      <w:marTop w:val="0"/>
      <w:marBottom w:val="0"/>
      <w:divBdr>
        <w:top w:val="none" w:sz="0" w:space="0" w:color="auto"/>
        <w:left w:val="none" w:sz="0" w:space="0" w:color="auto"/>
        <w:bottom w:val="none" w:sz="0" w:space="0" w:color="auto"/>
        <w:right w:val="none" w:sz="0" w:space="0" w:color="auto"/>
      </w:divBdr>
    </w:div>
    <w:div w:id="633563674">
      <w:bodyDiv w:val="1"/>
      <w:marLeft w:val="0"/>
      <w:marRight w:val="0"/>
      <w:marTop w:val="0"/>
      <w:marBottom w:val="0"/>
      <w:divBdr>
        <w:top w:val="none" w:sz="0" w:space="0" w:color="auto"/>
        <w:left w:val="none" w:sz="0" w:space="0" w:color="auto"/>
        <w:bottom w:val="none" w:sz="0" w:space="0" w:color="auto"/>
        <w:right w:val="none" w:sz="0" w:space="0" w:color="auto"/>
      </w:divBdr>
    </w:div>
    <w:div w:id="645670859">
      <w:bodyDiv w:val="1"/>
      <w:marLeft w:val="0"/>
      <w:marRight w:val="0"/>
      <w:marTop w:val="0"/>
      <w:marBottom w:val="0"/>
      <w:divBdr>
        <w:top w:val="none" w:sz="0" w:space="0" w:color="auto"/>
        <w:left w:val="none" w:sz="0" w:space="0" w:color="auto"/>
        <w:bottom w:val="none" w:sz="0" w:space="0" w:color="auto"/>
        <w:right w:val="none" w:sz="0" w:space="0" w:color="auto"/>
      </w:divBdr>
    </w:div>
    <w:div w:id="654648450">
      <w:bodyDiv w:val="1"/>
      <w:marLeft w:val="0"/>
      <w:marRight w:val="0"/>
      <w:marTop w:val="0"/>
      <w:marBottom w:val="0"/>
      <w:divBdr>
        <w:top w:val="none" w:sz="0" w:space="0" w:color="auto"/>
        <w:left w:val="none" w:sz="0" w:space="0" w:color="auto"/>
        <w:bottom w:val="none" w:sz="0" w:space="0" w:color="auto"/>
        <w:right w:val="none" w:sz="0" w:space="0" w:color="auto"/>
      </w:divBdr>
    </w:div>
    <w:div w:id="681709377">
      <w:bodyDiv w:val="1"/>
      <w:marLeft w:val="0"/>
      <w:marRight w:val="0"/>
      <w:marTop w:val="0"/>
      <w:marBottom w:val="0"/>
      <w:divBdr>
        <w:top w:val="none" w:sz="0" w:space="0" w:color="auto"/>
        <w:left w:val="none" w:sz="0" w:space="0" w:color="auto"/>
        <w:bottom w:val="none" w:sz="0" w:space="0" w:color="auto"/>
        <w:right w:val="none" w:sz="0" w:space="0" w:color="auto"/>
      </w:divBdr>
    </w:div>
    <w:div w:id="686980939">
      <w:bodyDiv w:val="1"/>
      <w:marLeft w:val="0"/>
      <w:marRight w:val="0"/>
      <w:marTop w:val="0"/>
      <w:marBottom w:val="0"/>
      <w:divBdr>
        <w:top w:val="none" w:sz="0" w:space="0" w:color="auto"/>
        <w:left w:val="none" w:sz="0" w:space="0" w:color="auto"/>
        <w:bottom w:val="none" w:sz="0" w:space="0" w:color="auto"/>
        <w:right w:val="none" w:sz="0" w:space="0" w:color="auto"/>
      </w:divBdr>
    </w:div>
    <w:div w:id="690449624">
      <w:bodyDiv w:val="1"/>
      <w:marLeft w:val="0"/>
      <w:marRight w:val="0"/>
      <w:marTop w:val="0"/>
      <w:marBottom w:val="0"/>
      <w:divBdr>
        <w:top w:val="none" w:sz="0" w:space="0" w:color="auto"/>
        <w:left w:val="none" w:sz="0" w:space="0" w:color="auto"/>
        <w:bottom w:val="none" w:sz="0" w:space="0" w:color="auto"/>
        <w:right w:val="none" w:sz="0" w:space="0" w:color="auto"/>
      </w:divBdr>
      <w:divsChild>
        <w:div w:id="832531932">
          <w:marLeft w:val="0"/>
          <w:marRight w:val="0"/>
          <w:marTop w:val="0"/>
          <w:marBottom w:val="0"/>
          <w:divBdr>
            <w:top w:val="none" w:sz="0" w:space="0" w:color="auto"/>
            <w:left w:val="none" w:sz="0" w:space="0" w:color="auto"/>
            <w:bottom w:val="none" w:sz="0" w:space="0" w:color="auto"/>
            <w:right w:val="none" w:sz="0" w:space="0" w:color="auto"/>
          </w:divBdr>
          <w:divsChild>
            <w:div w:id="1079790291">
              <w:marLeft w:val="0"/>
              <w:marRight w:val="0"/>
              <w:marTop w:val="0"/>
              <w:marBottom w:val="0"/>
              <w:divBdr>
                <w:top w:val="none" w:sz="0" w:space="0" w:color="auto"/>
                <w:left w:val="none" w:sz="0" w:space="0" w:color="auto"/>
                <w:bottom w:val="none" w:sz="0" w:space="0" w:color="auto"/>
                <w:right w:val="none" w:sz="0" w:space="0" w:color="auto"/>
              </w:divBdr>
              <w:divsChild>
                <w:div w:id="93484188">
                  <w:marLeft w:val="0"/>
                  <w:marRight w:val="0"/>
                  <w:marTop w:val="0"/>
                  <w:marBottom w:val="0"/>
                  <w:divBdr>
                    <w:top w:val="none" w:sz="0" w:space="0" w:color="auto"/>
                    <w:left w:val="none" w:sz="0" w:space="0" w:color="auto"/>
                    <w:bottom w:val="none" w:sz="0" w:space="0" w:color="auto"/>
                    <w:right w:val="none" w:sz="0" w:space="0" w:color="auto"/>
                  </w:divBdr>
                  <w:divsChild>
                    <w:div w:id="1035694058">
                      <w:marLeft w:val="0"/>
                      <w:marRight w:val="0"/>
                      <w:marTop w:val="0"/>
                      <w:marBottom w:val="0"/>
                      <w:divBdr>
                        <w:top w:val="none" w:sz="0" w:space="0" w:color="auto"/>
                        <w:left w:val="none" w:sz="0" w:space="0" w:color="auto"/>
                        <w:bottom w:val="none" w:sz="0" w:space="0" w:color="auto"/>
                        <w:right w:val="none" w:sz="0" w:space="0" w:color="auto"/>
                      </w:divBdr>
                      <w:divsChild>
                        <w:div w:id="149952171">
                          <w:marLeft w:val="0"/>
                          <w:marRight w:val="0"/>
                          <w:marTop w:val="0"/>
                          <w:marBottom w:val="0"/>
                          <w:divBdr>
                            <w:top w:val="none" w:sz="0" w:space="0" w:color="auto"/>
                            <w:left w:val="none" w:sz="0" w:space="0" w:color="auto"/>
                            <w:bottom w:val="none" w:sz="0" w:space="0" w:color="auto"/>
                            <w:right w:val="none" w:sz="0" w:space="0" w:color="auto"/>
                          </w:divBdr>
                          <w:divsChild>
                            <w:div w:id="1829711258">
                              <w:marLeft w:val="0"/>
                              <w:marRight w:val="0"/>
                              <w:marTop w:val="0"/>
                              <w:marBottom w:val="0"/>
                              <w:divBdr>
                                <w:top w:val="none" w:sz="0" w:space="0" w:color="auto"/>
                                <w:left w:val="none" w:sz="0" w:space="0" w:color="auto"/>
                                <w:bottom w:val="none" w:sz="0" w:space="0" w:color="auto"/>
                                <w:right w:val="none" w:sz="0" w:space="0" w:color="auto"/>
                              </w:divBdr>
                              <w:divsChild>
                                <w:div w:id="14549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174301">
      <w:bodyDiv w:val="1"/>
      <w:marLeft w:val="0"/>
      <w:marRight w:val="0"/>
      <w:marTop w:val="0"/>
      <w:marBottom w:val="0"/>
      <w:divBdr>
        <w:top w:val="none" w:sz="0" w:space="0" w:color="auto"/>
        <w:left w:val="none" w:sz="0" w:space="0" w:color="auto"/>
        <w:bottom w:val="none" w:sz="0" w:space="0" w:color="auto"/>
        <w:right w:val="none" w:sz="0" w:space="0" w:color="auto"/>
      </w:divBdr>
    </w:div>
    <w:div w:id="704714467">
      <w:bodyDiv w:val="1"/>
      <w:marLeft w:val="0"/>
      <w:marRight w:val="0"/>
      <w:marTop w:val="0"/>
      <w:marBottom w:val="0"/>
      <w:divBdr>
        <w:top w:val="none" w:sz="0" w:space="0" w:color="auto"/>
        <w:left w:val="none" w:sz="0" w:space="0" w:color="auto"/>
        <w:bottom w:val="none" w:sz="0" w:space="0" w:color="auto"/>
        <w:right w:val="none" w:sz="0" w:space="0" w:color="auto"/>
      </w:divBdr>
    </w:div>
    <w:div w:id="722216248">
      <w:bodyDiv w:val="1"/>
      <w:marLeft w:val="0"/>
      <w:marRight w:val="0"/>
      <w:marTop w:val="0"/>
      <w:marBottom w:val="0"/>
      <w:divBdr>
        <w:top w:val="none" w:sz="0" w:space="0" w:color="auto"/>
        <w:left w:val="none" w:sz="0" w:space="0" w:color="auto"/>
        <w:bottom w:val="none" w:sz="0" w:space="0" w:color="auto"/>
        <w:right w:val="none" w:sz="0" w:space="0" w:color="auto"/>
      </w:divBdr>
    </w:div>
    <w:div w:id="730155341">
      <w:bodyDiv w:val="1"/>
      <w:marLeft w:val="0"/>
      <w:marRight w:val="0"/>
      <w:marTop w:val="0"/>
      <w:marBottom w:val="0"/>
      <w:divBdr>
        <w:top w:val="none" w:sz="0" w:space="0" w:color="auto"/>
        <w:left w:val="none" w:sz="0" w:space="0" w:color="auto"/>
        <w:bottom w:val="none" w:sz="0" w:space="0" w:color="auto"/>
        <w:right w:val="none" w:sz="0" w:space="0" w:color="auto"/>
      </w:divBdr>
    </w:div>
    <w:div w:id="737365458">
      <w:bodyDiv w:val="1"/>
      <w:marLeft w:val="0"/>
      <w:marRight w:val="0"/>
      <w:marTop w:val="0"/>
      <w:marBottom w:val="0"/>
      <w:divBdr>
        <w:top w:val="none" w:sz="0" w:space="0" w:color="auto"/>
        <w:left w:val="none" w:sz="0" w:space="0" w:color="auto"/>
        <w:bottom w:val="none" w:sz="0" w:space="0" w:color="auto"/>
        <w:right w:val="none" w:sz="0" w:space="0" w:color="auto"/>
      </w:divBdr>
    </w:div>
    <w:div w:id="770126999">
      <w:bodyDiv w:val="1"/>
      <w:marLeft w:val="0"/>
      <w:marRight w:val="0"/>
      <w:marTop w:val="0"/>
      <w:marBottom w:val="0"/>
      <w:divBdr>
        <w:top w:val="none" w:sz="0" w:space="0" w:color="auto"/>
        <w:left w:val="none" w:sz="0" w:space="0" w:color="auto"/>
        <w:bottom w:val="none" w:sz="0" w:space="0" w:color="auto"/>
        <w:right w:val="none" w:sz="0" w:space="0" w:color="auto"/>
      </w:divBdr>
    </w:div>
    <w:div w:id="827212250">
      <w:bodyDiv w:val="1"/>
      <w:marLeft w:val="0"/>
      <w:marRight w:val="0"/>
      <w:marTop w:val="0"/>
      <w:marBottom w:val="0"/>
      <w:divBdr>
        <w:top w:val="none" w:sz="0" w:space="0" w:color="auto"/>
        <w:left w:val="none" w:sz="0" w:space="0" w:color="auto"/>
        <w:bottom w:val="none" w:sz="0" w:space="0" w:color="auto"/>
        <w:right w:val="none" w:sz="0" w:space="0" w:color="auto"/>
      </w:divBdr>
    </w:div>
    <w:div w:id="840508206">
      <w:bodyDiv w:val="1"/>
      <w:marLeft w:val="0"/>
      <w:marRight w:val="0"/>
      <w:marTop w:val="0"/>
      <w:marBottom w:val="0"/>
      <w:divBdr>
        <w:top w:val="none" w:sz="0" w:space="0" w:color="auto"/>
        <w:left w:val="none" w:sz="0" w:space="0" w:color="auto"/>
        <w:bottom w:val="none" w:sz="0" w:space="0" w:color="auto"/>
        <w:right w:val="none" w:sz="0" w:space="0" w:color="auto"/>
      </w:divBdr>
    </w:div>
    <w:div w:id="858469708">
      <w:bodyDiv w:val="1"/>
      <w:marLeft w:val="0"/>
      <w:marRight w:val="0"/>
      <w:marTop w:val="0"/>
      <w:marBottom w:val="0"/>
      <w:divBdr>
        <w:top w:val="none" w:sz="0" w:space="0" w:color="auto"/>
        <w:left w:val="none" w:sz="0" w:space="0" w:color="auto"/>
        <w:bottom w:val="none" w:sz="0" w:space="0" w:color="auto"/>
        <w:right w:val="none" w:sz="0" w:space="0" w:color="auto"/>
      </w:divBdr>
    </w:div>
    <w:div w:id="861289060">
      <w:bodyDiv w:val="1"/>
      <w:marLeft w:val="0"/>
      <w:marRight w:val="0"/>
      <w:marTop w:val="0"/>
      <w:marBottom w:val="0"/>
      <w:divBdr>
        <w:top w:val="none" w:sz="0" w:space="0" w:color="auto"/>
        <w:left w:val="none" w:sz="0" w:space="0" w:color="auto"/>
        <w:bottom w:val="none" w:sz="0" w:space="0" w:color="auto"/>
        <w:right w:val="none" w:sz="0" w:space="0" w:color="auto"/>
      </w:divBdr>
    </w:div>
    <w:div w:id="873343032">
      <w:bodyDiv w:val="1"/>
      <w:marLeft w:val="0"/>
      <w:marRight w:val="0"/>
      <w:marTop w:val="0"/>
      <w:marBottom w:val="0"/>
      <w:divBdr>
        <w:top w:val="none" w:sz="0" w:space="0" w:color="auto"/>
        <w:left w:val="none" w:sz="0" w:space="0" w:color="auto"/>
        <w:bottom w:val="none" w:sz="0" w:space="0" w:color="auto"/>
        <w:right w:val="none" w:sz="0" w:space="0" w:color="auto"/>
      </w:divBdr>
    </w:div>
    <w:div w:id="878512984">
      <w:bodyDiv w:val="1"/>
      <w:marLeft w:val="0"/>
      <w:marRight w:val="0"/>
      <w:marTop w:val="0"/>
      <w:marBottom w:val="0"/>
      <w:divBdr>
        <w:top w:val="none" w:sz="0" w:space="0" w:color="auto"/>
        <w:left w:val="none" w:sz="0" w:space="0" w:color="auto"/>
        <w:bottom w:val="none" w:sz="0" w:space="0" w:color="auto"/>
        <w:right w:val="none" w:sz="0" w:space="0" w:color="auto"/>
      </w:divBdr>
    </w:div>
    <w:div w:id="913397333">
      <w:bodyDiv w:val="1"/>
      <w:marLeft w:val="0"/>
      <w:marRight w:val="0"/>
      <w:marTop w:val="0"/>
      <w:marBottom w:val="0"/>
      <w:divBdr>
        <w:top w:val="none" w:sz="0" w:space="0" w:color="auto"/>
        <w:left w:val="none" w:sz="0" w:space="0" w:color="auto"/>
        <w:bottom w:val="none" w:sz="0" w:space="0" w:color="auto"/>
        <w:right w:val="none" w:sz="0" w:space="0" w:color="auto"/>
      </w:divBdr>
    </w:div>
    <w:div w:id="920404953">
      <w:bodyDiv w:val="1"/>
      <w:marLeft w:val="0"/>
      <w:marRight w:val="0"/>
      <w:marTop w:val="0"/>
      <w:marBottom w:val="0"/>
      <w:divBdr>
        <w:top w:val="none" w:sz="0" w:space="0" w:color="auto"/>
        <w:left w:val="none" w:sz="0" w:space="0" w:color="auto"/>
        <w:bottom w:val="none" w:sz="0" w:space="0" w:color="auto"/>
        <w:right w:val="none" w:sz="0" w:space="0" w:color="auto"/>
      </w:divBdr>
    </w:div>
    <w:div w:id="944461372">
      <w:bodyDiv w:val="1"/>
      <w:marLeft w:val="0"/>
      <w:marRight w:val="0"/>
      <w:marTop w:val="0"/>
      <w:marBottom w:val="0"/>
      <w:divBdr>
        <w:top w:val="none" w:sz="0" w:space="0" w:color="auto"/>
        <w:left w:val="none" w:sz="0" w:space="0" w:color="auto"/>
        <w:bottom w:val="none" w:sz="0" w:space="0" w:color="auto"/>
        <w:right w:val="none" w:sz="0" w:space="0" w:color="auto"/>
      </w:divBdr>
    </w:div>
    <w:div w:id="973026007">
      <w:bodyDiv w:val="1"/>
      <w:marLeft w:val="0"/>
      <w:marRight w:val="0"/>
      <w:marTop w:val="0"/>
      <w:marBottom w:val="0"/>
      <w:divBdr>
        <w:top w:val="none" w:sz="0" w:space="0" w:color="auto"/>
        <w:left w:val="none" w:sz="0" w:space="0" w:color="auto"/>
        <w:bottom w:val="none" w:sz="0" w:space="0" w:color="auto"/>
        <w:right w:val="none" w:sz="0" w:space="0" w:color="auto"/>
      </w:divBdr>
    </w:div>
    <w:div w:id="1051073227">
      <w:bodyDiv w:val="1"/>
      <w:marLeft w:val="0"/>
      <w:marRight w:val="0"/>
      <w:marTop w:val="0"/>
      <w:marBottom w:val="0"/>
      <w:divBdr>
        <w:top w:val="none" w:sz="0" w:space="0" w:color="auto"/>
        <w:left w:val="none" w:sz="0" w:space="0" w:color="auto"/>
        <w:bottom w:val="none" w:sz="0" w:space="0" w:color="auto"/>
        <w:right w:val="none" w:sz="0" w:space="0" w:color="auto"/>
      </w:divBdr>
    </w:div>
    <w:div w:id="1058360817">
      <w:bodyDiv w:val="1"/>
      <w:marLeft w:val="0"/>
      <w:marRight w:val="0"/>
      <w:marTop w:val="0"/>
      <w:marBottom w:val="0"/>
      <w:divBdr>
        <w:top w:val="none" w:sz="0" w:space="0" w:color="auto"/>
        <w:left w:val="none" w:sz="0" w:space="0" w:color="auto"/>
        <w:bottom w:val="none" w:sz="0" w:space="0" w:color="auto"/>
        <w:right w:val="none" w:sz="0" w:space="0" w:color="auto"/>
      </w:divBdr>
      <w:divsChild>
        <w:div w:id="1801727865">
          <w:marLeft w:val="0"/>
          <w:marRight w:val="0"/>
          <w:marTop w:val="0"/>
          <w:marBottom w:val="0"/>
          <w:divBdr>
            <w:top w:val="none" w:sz="0" w:space="0" w:color="auto"/>
            <w:left w:val="none" w:sz="0" w:space="0" w:color="auto"/>
            <w:bottom w:val="none" w:sz="0" w:space="0" w:color="auto"/>
            <w:right w:val="none" w:sz="0" w:space="0" w:color="auto"/>
          </w:divBdr>
          <w:divsChild>
            <w:div w:id="1232735883">
              <w:marLeft w:val="0"/>
              <w:marRight w:val="0"/>
              <w:marTop w:val="0"/>
              <w:marBottom w:val="0"/>
              <w:divBdr>
                <w:top w:val="none" w:sz="0" w:space="0" w:color="auto"/>
                <w:left w:val="none" w:sz="0" w:space="0" w:color="auto"/>
                <w:bottom w:val="none" w:sz="0" w:space="0" w:color="auto"/>
                <w:right w:val="none" w:sz="0" w:space="0" w:color="auto"/>
              </w:divBdr>
              <w:divsChild>
                <w:div w:id="1182085983">
                  <w:marLeft w:val="0"/>
                  <w:marRight w:val="0"/>
                  <w:marTop w:val="0"/>
                  <w:marBottom w:val="0"/>
                  <w:divBdr>
                    <w:top w:val="none" w:sz="0" w:space="0" w:color="auto"/>
                    <w:left w:val="none" w:sz="0" w:space="0" w:color="auto"/>
                    <w:bottom w:val="none" w:sz="0" w:space="0" w:color="auto"/>
                    <w:right w:val="none" w:sz="0" w:space="0" w:color="auto"/>
                  </w:divBdr>
                  <w:divsChild>
                    <w:div w:id="1693722802">
                      <w:marLeft w:val="0"/>
                      <w:marRight w:val="0"/>
                      <w:marTop w:val="0"/>
                      <w:marBottom w:val="0"/>
                      <w:divBdr>
                        <w:top w:val="none" w:sz="0" w:space="0" w:color="auto"/>
                        <w:left w:val="none" w:sz="0" w:space="0" w:color="auto"/>
                        <w:bottom w:val="none" w:sz="0" w:space="0" w:color="auto"/>
                        <w:right w:val="none" w:sz="0" w:space="0" w:color="auto"/>
                      </w:divBdr>
                      <w:divsChild>
                        <w:div w:id="1661494985">
                          <w:marLeft w:val="0"/>
                          <w:marRight w:val="0"/>
                          <w:marTop w:val="0"/>
                          <w:marBottom w:val="0"/>
                          <w:divBdr>
                            <w:top w:val="none" w:sz="0" w:space="0" w:color="auto"/>
                            <w:left w:val="none" w:sz="0" w:space="0" w:color="auto"/>
                            <w:bottom w:val="none" w:sz="0" w:space="0" w:color="auto"/>
                            <w:right w:val="none" w:sz="0" w:space="0" w:color="auto"/>
                          </w:divBdr>
                          <w:divsChild>
                            <w:div w:id="1592661176">
                              <w:marLeft w:val="0"/>
                              <w:marRight w:val="0"/>
                              <w:marTop w:val="0"/>
                              <w:marBottom w:val="0"/>
                              <w:divBdr>
                                <w:top w:val="none" w:sz="0" w:space="0" w:color="auto"/>
                                <w:left w:val="none" w:sz="0" w:space="0" w:color="auto"/>
                                <w:bottom w:val="none" w:sz="0" w:space="0" w:color="auto"/>
                                <w:right w:val="none" w:sz="0" w:space="0" w:color="auto"/>
                              </w:divBdr>
                              <w:divsChild>
                                <w:div w:id="313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83854">
      <w:bodyDiv w:val="1"/>
      <w:marLeft w:val="0"/>
      <w:marRight w:val="0"/>
      <w:marTop w:val="0"/>
      <w:marBottom w:val="0"/>
      <w:divBdr>
        <w:top w:val="none" w:sz="0" w:space="0" w:color="auto"/>
        <w:left w:val="none" w:sz="0" w:space="0" w:color="auto"/>
        <w:bottom w:val="none" w:sz="0" w:space="0" w:color="auto"/>
        <w:right w:val="none" w:sz="0" w:space="0" w:color="auto"/>
      </w:divBdr>
    </w:div>
    <w:div w:id="1106383941">
      <w:bodyDiv w:val="1"/>
      <w:marLeft w:val="0"/>
      <w:marRight w:val="0"/>
      <w:marTop w:val="0"/>
      <w:marBottom w:val="0"/>
      <w:divBdr>
        <w:top w:val="none" w:sz="0" w:space="0" w:color="auto"/>
        <w:left w:val="none" w:sz="0" w:space="0" w:color="auto"/>
        <w:bottom w:val="none" w:sz="0" w:space="0" w:color="auto"/>
        <w:right w:val="none" w:sz="0" w:space="0" w:color="auto"/>
      </w:divBdr>
    </w:div>
    <w:div w:id="1110860730">
      <w:bodyDiv w:val="1"/>
      <w:marLeft w:val="0"/>
      <w:marRight w:val="0"/>
      <w:marTop w:val="0"/>
      <w:marBottom w:val="0"/>
      <w:divBdr>
        <w:top w:val="none" w:sz="0" w:space="0" w:color="auto"/>
        <w:left w:val="none" w:sz="0" w:space="0" w:color="auto"/>
        <w:bottom w:val="none" w:sz="0" w:space="0" w:color="auto"/>
        <w:right w:val="none" w:sz="0" w:space="0" w:color="auto"/>
      </w:divBdr>
    </w:div>
    <w:div w:id="1137914476">
      <w:bodyDiv w:val="1"/>
      <w:marLeft w:val="0"/>
      <w:marRight w:val="0"/>
      <w:marTop w:val="0"/>
      <w:marBottom w:val="0"/>
      <w:divBdr>
        <w:top w:val="none" w:sz="0" w:space="0" w:color="auto"/>
        <w:left w:val="none" w:sz="0" w:space="0" w:color="auto"/>
        <w:bottom w:val="none" w:sz="0" w:space="0" w:color="auto"/>
        <w:right w:val="none" w:sz="0" w:space="0" w:color="auto"/>
      </w:divBdr>
    </w:div>
    <w:div w:id="1156804623">
      <w:bodyDiv w:val="1"/>
      <w:marLeft w:val="0"/>
      <w:marRight w:val="0"/>
      <w:marTop w:val="0"/>
      <w:marBottom w:val="0"/>
      <w:divBdr>
        <w:top w:val="none" w:sz="0" w:space="0" w:color="auto"/>
        <w:left w:val="none" w:sz="0" w:space="0" w:color="auto"/>
        <w:bottom w:val="none" w:sz="0" w:space="0" w:color="auto"/>
        <w:right w:val="none" w:sz="0" w:space="0" w:color="auto"/>
      </w:divBdr>
    </w:div>
    <w:div w:id="1212765618">
      <w:bodyDiv w:val="1"/>
      <w:marLeft w:val="0"/>
      <w:marRight w:val="0"/>
      <w:marTop w:val="0"/>
      <w:marBottom w:val="0"/>
      <w:divBdr>
        <w:top w:val="none" w:sz="0" w:space="0" w:color="auto"/>
        <w:left w:val="none" w:sz="0" w:space="0" w:color="auto"/>
        <w:bottom w:val="none" w:sz="0" w:space="0" w:color="auto"/>
        <w:right w:val="none" w:sz="0" w:space="0" w:color="auto"/>
      </w:divBdr>
    </w:div>
    <w:div w:id="1220554936">
      <w:bodyDiv w:val="1"/>
      <w:marLeft w:val="0"/>
      <w:marRight w:val="0"/>
      <w:marTop w:val="0"/>
      <w:marBottom w:val="0"/>
      <w:divBdr>
        <w:top w:val="none" w:sz="0" w:space="0" w:color="auto"/>
        <w:left w:val="none" w:sz="0" w:space="0" w:color="auto"/>
        <w:bottom w:val="none" w:sz="0" w:space="0" w:color="auto"/>
        <w:right w:val="none" w:sz="0" w:space="0" w:color="auto"/>
      </w:divBdr>
    </w:div>
    <w:div w:id="1227379998">
      <w:bodyDiv w:val="1"/>
      <w:marLeft w:val="0"/>
      <w:marRight w:val="0"/>
      <w:marTop w:val="0"/>
      <w:marBottom w:val="0"/>
      <w:divBdr>
        <w:top w:val="none" w:sz="0" w:space="0" w:color="auto"/>
        <w:left w:val="none" w:sz="0" w:space="0" w:color="auto"/>
        <w:bottom w:val="none" w:sz="0" w:space="0" w:color="auto"/>
        <w:right w:val="none" w:sz="0" w:space="0" w:color="auto"/>
      </w:divBdr>
    </w:div>
    <w:div w:id="1239024003">
      <w:bodyDiv w:val="1"/>
      <w:marLeft w:val="0"/>
      <w:marRight w:val="0"/>
      <w:marTop w:val="0"/>
      <w:marBottom w:val="0"/>
      <w:divBdr>
        <w:top w:val="none" w:sz="0" w:space="0" w:color="auto"/>
        <w:left w:val="none" w:sz="0" w:space="0" w:color="auto"/>
        <w:bottom w:val="none" w:sz="0" w:space="0" w:color="auto"/>
        <w:right w:val="none" w:sz="0" w:space="0" w:color="auto"/>
      </w:divBdr>
    </w:div>
    <w:div w:id="1305239382">
      <w:bodyDiv w:val="1"/>
      <w:marLeft w:val="0"/>
      <w:marRight w:val="0"/>
      <w:marTop w:val="0"/>
      <w:marBottom w:val="0"/>
      <w:divBdr>
        <w:top w:val="none" w:sz="0" w:space="0" w:color="auto"/>
        <w:left w:val="none" w:sz="0" w:space="0" w:color="auto"/>
        <w:bottom w:val="none" w:sz="0" w:space="0" w:color="auto"/>
        <w:right w:val="none" w:sz="0" w:space="0" w:color="auto"/>
      </w:divBdr>
    </w:div>
    <w:div w:id="1309549915">
      <w:bodyDiv w:val="1"/>
      <w:marLeft w:val="0"/>
      <w:marRight w:val="0"/>
      <w:marTop w:val="0"/>
      <w:marBottom w:val="0"/>
      <w:divBdr>
        <w:top w:val="none" w:sz="0" w:space="0" w:color="auto"/>
        <w:left w:val="none" w:sz="0" w:space="0" w:color="auto"/>
        <w:bottom w:val="none" w:sz="0" w:space="0" w:color="auto"/>
        <w:right w:val="none" w:sz="0" w:space="0" w:color="auto"/>
      </w:divBdr>
    </w:div>
    <w:div w:id="1349409004">
      <w:bodyDiv w:val="1"/>
      <w:marLeft w:val="0"/>
      <w:marRight w:val="0"/>
      <w:marTop w:val="0"/>
      <w:marBottom w:val="0"/>
      <w:divBdr>
        <w:top w:val="none" w:sz="0" w:space="0" w:color="auto"/>
        <w:left w:val="none" w:sz="0" w:space="0" w:color="auto"/>
        <w:bottom w:val="none" w:sz="0" w:space="0" w:color="auto"/>
        <w:right w:val="none" w:sz="0" w:space="0" w:color="auto"/>
      </w:divBdr>
    </w:div>
    <w:div w:id="1375620849">
      <w:bodyDiv w:val="1"/>
      <w:marLeft w:val="0"/>
      <w:marRight w:val="0"/>
      <w:marTop w:val="0"/>
      <w:marBottom w:val="0"/>
      <w:divBdr>
        <w:top w:val="none" w:sz="0" w:space="0" w:color="auto"/>
        <w:left w:val="none" w:sz="0" w:space="0" w:color="auto"/>
        <w:bottom w:val="none" w:sz="0" w:space="0" w:color="auto"/>
        <w:right w:val="none" w:sz="0" w:space="0" w:color="auto"/>
      </w:divBdr>
    </w:div>
    <w:div w:id="1391031780">
      <w:bodyDiv w:val="1"/>
      <w:marLeft w:val="0"/>
      <w:marRight w:val="0"/>
      <w:marTop w:val="0"/>
      <w:marBottom w:val="0"/>
      <w:divBdr>
        <w:top w:val="none" w:sz="0" w:space="0" w:color="auto"/>
        <w:left w:val="none" w:sz="0" w:space="0" w:color="auto"/>
        <w:bottom w:val="none" w:sz="0" w:space="0" w:color="auto"/>
        <w:right w:val="none" w:sz="0" w:space="0" w:color="auto"/>
      </w:divBdr>
    </w:div>
    <w:div w:id="1399590992">
      <w:bodyDiv w:val="1"/>
      <w:marLeft w:val="0"/>
      <w:marRight w:val="0"/>
      <w:marTop w:val="0"/>
      <w:marBottom w:val="0"/>
      <w:divBdr>
        <w:top w:val="none" w:sz="0" w:space="0" w:color="auto"/>
        <w:left w:val="none" w:sz="0" w:space="0" w:color="auto"/>
        <w:bottom w:val="none" w:sz="0" w:space="0" w:color="auto"/>
        <w:right w:val="none" w:sz="0" w:space="0" w:color="auto"/>
      </w:divBdr>
    </w:div>
    <w:div w:id="1411345119">
      <w:bodyDiv w:val="1"/>
      <w:marLeft w:val="0"/>
      <w:marRight w:val="0"/>
      <w:marTop w:val="0"/>
      <w:marBottom w:val="0"/>
      <w:divBdr>
        <w:top w:val="none" w:sz="0" w:space="0" w:color="auto"/>
        <w:left w:val="none" w:sz="0" w:space="0" w:color="auto"/>
        <w:bottom w:val="none" w:sz="0" w:space="0" w:color="auto"/>
        <w:right w:val="none" w:sz="0" w:space="0" w:color="auto"/>
      </w:divBdr>
    </w:div>
    <w:div w:id="1444763727">
      <w:bodyDiv w:val="1"/>
      <w:marLeft w:val="0"/>
      <w:marRight w:val="0"/>
      <w:marTop w:val="0"/>
      <w:marBottom w:val="0"/>
      <w:divBdr>
        <w:top w:val="none" w:sz="0" w:space="0" w:color="auto"/>
        <w:left w:val="none" w:sz="0" w:space="0" w:color="auto"/>
        <w:bottom w:val="none" w:sz="0" w:space="0" w:color="auto"/>
        <w:right w:val="none" w:sz="0" w:space="0" w:color="auto"/>
      </w:divBdr>
    </w:div>
    <w:div w:id="1482623863">
      <w:bodyDiv w:val="1"/>
      <w:marLeft w:val="0"/>
      <w:marRight w:val="0"/>
      <w:marTop w:val="0"/>
      <w:marBottom w:val="0"/>
      <w:divBdr>
        <w:top w:val="none" w:sz="0" w:space="0" w:color="auto"/>
        <w:left w:val="none" w:sz="0" w:space="0" w:color="auto"/>
        <w:bottom w:val="none" w:sz="0" w:space="0" w:color="auto"/>
        <w:right w:val="none" w:sz="0" w:space="0" w:color="auto"/>
      </w:divBdr>
    </w:div>
    <w:div w:id="1484542211">
      <w:bodyDiv w:val="1"/>
      <w:marLeft w:val="0"/>
      <w:marRight w:val="0"/>
      <w:marTop w:val="0"/>
      <w:marBottom w:val="0"/>
      <w:divBdr>
        <w:top w:val="none" w:sz="0" w:space="0" w:color="auto"/>
        <w:left w:val="none" w:sz="0" w:space="0" w:color="auto"/>
        <w:bottom w:val="none" w:sz="0" w:space="0" w:color="auto"/>
        <w:right w:val="none" w:sz="0" w:space="0" w:color="auto"/>
      </w:divBdr>
    </w:div>
    <w:div w:id="1488475252">
      <w:bodyDiv w:val="1"/>
      <w:marLeft w:val="0"/>
      <w:marRight w:val="0"/>
      <w:marTop w:val="0"/>
      <w:marBottom w:val="0"/>
      <w:divBdr>
        <w:top w:val="none" w:sz="0" w:space="0" w:color="auto"/>
        <w:left w:val="none" w:sz="0" w:space="0" w:color="auto"/>
        <w:bottom w:val="none" w:sz="0" w:space="0" w:color="auto"/>
        <w:right w:val="none" w:sz="0" w:space="0" w:color="auto"/>
      </w:divBdr>
    </w:div>
    <w:div w:id="1511798790">
      <w:bodyDiv w:val="1"/>
      <w:marLeft w:val="0"/>
      <w:marRight w:val="0"/>
      <w:marTop w:val="0"/>
      <w:marBottom w:val="0"/>
      <w:divBdr>
        <w:top w:val="none" w:sz="0" w:space="0" w:color="auto"/>
        <w:left w:val="none" w:sz="0" w:space="0" w:color="auto"/>
        <w:bottom w:val="none" w:sz="0" w:space="0" w:color="auto"/>
        <w:right w:val="none" w:sz="0" w:space="0" w:color="auto"/>
      </w:divBdr>
    </w:div>
    <w:div w:id="1576361329">
      <w:bodyDiv w:val="1"/>
      <w:marLeft w:val="0"/>
      <w:marRight w:val="0"/>
      <w:marTop w:val="0"/>
      <w:marBottom w:val="0"/>
      <w:divBdr>
        <w:top w:val="none" w:sz="0" w:space="0" w:color="auto"/>
        <w:left w:val="none" w:sz="0" w:space="0" w:color="auto"/>
        <w:bottom w:val="none" w:sz="0" w:space="0" w:color="auto"/>
        <w:right w:val="none" w:sz="0" w:space="0" w:color="auto"/>
      </w:divBdr>
    </w:div>
    <w:div w:id="1579364278">
      <w:bodyDiv w:val="1"/>
      <w:marLeft w:val="0"/>
      <w:marRight w:val="0"/>
      <w:marTop w:val="0"/>
      <w:marBottom w:val="0"/>
      <w:divBdr>
        <w:top w:val="none" w:sz="0" w:space="0" w:color="auto"/>
        <w:left w:val="none" w:sz="0" w:space="0" w:color="auto"/>
        <w:bottom w:val="none" w:sz="0" w:space="0" w:color="auto"/>
        <w:right w:val="none" w:sz="0" w:space="0" w:color="auto"/>
      </w:divBdr>
    </w:div>
    <w:div w:id="1619410173">
      <w:bodyDiv w:val="1"/>
      <w:marLeft w:val="0"/>
      <w:marRight w:val="0"/>
      <w:marTop w:val="0"/>
      <w:marBottom w:val="0"/>
      <w:divBdr>
        <w:top w:val="none" w:sz="0" w:space="0" w:color="auto"/>
        <w:left w:val="none" w:sz="0" w:space="0" w:color="auto"/>
        <w:bottom w:val="none" w:sz="0" w:space="0" w:color="auto"/>
        <w:right w:val="none" w:sz="0" w:space="0" w:color="auto"/>
      </w:divBdr>
    </w:div>
    <w:div w:id="1667636290">
      <w:bodyDiv w:val="1"/>
      <w:marLeft w:val="0"/>
      <w:marRight w:val="0"/>
      <w:marTop w:val="0"/>
      <w:marBottom w:val="0"/>
      <w:divBdr>
        <w:top w:val="none" w:sz="0" w:space="0" w:color="auto"/>
        <w:left w:val="none" w:sz="0" w:space="0" w:color="auto"/>
        <w:bottom w:val="none" w:sz="0" w:space="0" w:color="auto"/>
        <w:right w:val="none" w:sz="0" w:space="0" w:color="auto"/>
      </w:divBdr>
    </w:div>
    <w:div w:id="1678380735">
      <w:bodyDiv w:val="1"/>
      <w:marLeft w:val="0"/>
      <w:marRight w:val="0"/>
      <w:marTop w:val="0"/>
      <w:marBottom w:val="0"/>
      <w:divBdr>
        <w:top w:val="none" w:sz="0" w:space="0" w:color="auto"/>
        <w:left w:val="none" w:sz="0" w:space="0" w:color="auto"/>
        <w:bottom w:val="none" w:sz="0" w:space="0" w:color="auto"/>
        <w:right w:val="none" w:sz="0" w:space="0" w:color="auto"/>
      </w:divBdr>
    </w:div>
    <w:div w:id="1679887326">
      <w:bodyDiv w:val="1"/>
      <w:marLeft w:val="0"/>
      <w:marRight w:val="0"/>
      <w:marTop w:val="0"/>
      <w:marBottom w:val="0"/>
      <w:divBdr>
        <w:top w:val="none" w:sz="0" w:space="0" w:color="auto"/>
        <w:left w:val="none" w:sz="0" w:space="0" w:color="auto"/>
        <w:bottom w:val="none" w:sz="0" w:space="0" w:color="auto"/>
        <w:right w:val="none" w:sz="0" w:space="0" w:color="auto"/>
      </w:divBdr>
    </w:div>
    <w:div w:id="1684167020">
      <w:bodyDiv w:val="1"/>
      <w:marLeft w:val="0"/>
      <w:marRight w:val="0"/>
      <w:marTop w:val="0"/>
      <w:marBottom w:val="0"/>
      <w:divBdr>
        <w:top w:val="none" w:sz="0" w:space="0" w:color="auto"/>
        <w:left w:val="none" w:sz="0" w:space="0" w:color="auto"/>
        <w:bottom w:val="none" w:sz="0" w:space="0" w:color="auto"/>
        <w:right w:val="none" w:sz="0" w:space="0" w:color="auto"/>
      </w:divBdr>
    </w:div>
    <w:div w:id="1698922047">
      <w:bodyDiv w:val="1"/>
      <w:marLeft w:val="0"/>
      <w:marRight w:val="0"/>
      <w:marTop w:val="0"/>
      <w:marBottom w:val="0"/>
      <w:divBdr>
        <w:top w:val="none" w:sz="0" w:space="0" w:color="auto"/>
        <w:left w:val="none" w:sz="0" w:space="0" w:color="auto"/>
        <w:bottom w:val="none" w:sz="0" w:space="0" w:color="auto"/>
        <w:right w:val="none" w:sz="0" w:space="0" w:color="auto"/>
      </w:divBdr>
    </w:div>
    <w:div w:id="1705716171">
      <w:bodyDiv w:val="1"/>
      <w:marLeft w:val="0"/>
      <w:marRight w:val="0"/>
      <w:marTop w:val="0"/>
      <w:marBottom w:val="0"/>
      <w:divBdr>
        <w:top w:val="none" w:sz="0" w:space="0" w:color="auto"/>
        <w:left w:val="none" w:sz="0" w:space="0" w:color="auto"/>
        <w:bottom w:val="none" w:sz="0" w:space="0" w:color="auto"/>
        <w:right w:val="none" w:sz="0" w:space="0" w:color="auto"/>
      </w:divBdr>
    </w:div>
    <w:div w:id="1726904751">
      <w:bodyDiv w:val="1"/>
      <w:marLeft w:val="0"/>
      <w:marRight w:val="0"/>
      <w:marTop w:val="0"/>
      <w:marBottom w:val="0"/>
      <w:divBdr>
        <w:top w:val="none" w:sz="0" w:space="0" w:color="auto"/>
        <w:left w:val="none" w:sz="0" w:space="0" w:color="auto"/>
        <w:bottom w:val="none" w:sz="0" w:space="0" w:color="auto"/>
        <w:right w:val="none" w:sz="0" w:space="0" w:color="auto"/>
      </w:divBdr>
    </w:div>
    <w:div w:id="1731728322">
      <w:bodyDiv w:val="1"/>
      <w:marLeft w:val="0"/>
      <w:marRight w:val="0"/>
      <w:marTop w:val="0"/>
      <w:marBottom w:val="0"/>
      <w:divBdr>
        <w:top w:val="none" w:sz="0" w:space="0" w:color="auto"/>
        <w:left w:val="none" w:sz="0" w:space="0" w:color="auto"/>
        <w:bottom w:val="none" w:sz="0" w:space="0" w:color="auto"/>
        <w:right w:val="none" w:sz="0" w:space="0" w:color="auto"/>
      </w:divBdr>
    </w:div>
    <w:div w:id="1742144256">
      <w:bodyDiv w:val="1"/>
      <w:marLeft w:val="0"/>
      <w:marRight w:val="0"/>
      <w:marTop w:val="0"/>
      <w:marBottom w:val="0"/>
      <w:divBdr>
        <w:top w:val="none" w:sz="0" w:space="0" w:color="auto"/>
        <w:left w:val="none" w:sz="0" w:space="0" w:color="auto"/>
        <w:bottom w:val="none" w:sz="0" w:space="0" w:color="auto"/>
        <w:right w:val="none" w:sz="0" w:space="0" w:color="auto"/>
      </w:divBdr>
    </w:div>
    <w:div w:id="1746147773">
      <w:bodyDiv w:val="1"/>
      <w:marLeft w:val="0"/>
      <w:marRight w:val="0"/>
      <w:marTop w:val="0"/>
      <w:marBottom w:val="0"/>
      <w:divBdr>
        <w:top w:val="none" w:sz="0" w:space="0" w:color="auto"/>
        <w:left w:val="none" w:sz="0" w:space="0" w:color="auto"/>
        <w:bottom w:val="none" w:sz="0" w:space="0" w:color="auto"/>
        <w:right w:val="none" w:sz="0" w:space="0" w:color="auto"/>
      </w:divBdr>
    </w:div>
    <w:div w:id="1766878814">
      <w:bodyDiv w:val="1"/>
      <w:marLeft w:val="0"/>
      <w:marRight w:val="0"/>
      <w:marTop w:val="0"/>
      <w:marBottom w:val="0"/>
      <w:divBdr>
        <w:top w:val="none" w:sz="0" w:space="0" w:color="auto"/>
        <w:left w:val="none" w:sz="0" w:space="0" w:color="auto"/>
        <w:bottom w:val="none" w:sz="0" w:space="0" w:color="auto"/>
        <w:right w:val="none" w:sz="0" w:space="0" w:color="auto"/>
      </w:divBdr>
    </w:div>
    <w:div w:id="1802338091">
      <w:bodyDiv w:val="1"/>
      <w:marLeft w:val="0"/>
      <w:marRight w:val="0"/>
      <w:marTop w:val="0"/>
      <w:marBottom w:val="0"/>
      <w:divBdr>
        <w:top w:val="none" w:sz="0" w:space="0" w:color="auto"/>
        <w:left w:val="none" w:sz="0" w:space="0" w:color="auto"/>
        <w:bottom w:val="none" w:sz="0" w:space="0" w:color="auto"/>
        <w:right w:val="none" w:sz="0" w:space="0" w:color="auto"/>
      </w:divBdr>
    </w:div>
    <w:div w:id="1803689453">
      <w:bodyDiv w:val="1"/>
      <w:marLeft w:val="0"/>
      <w:marRight w:val="0"/>
      <w:marTop w:val="0"/>
      <w:marBottom w:val="0"/>
      <w:divBdr>
        <w:top w:val="none" w:sz="0" w:space="0" w:color="auto"/>
        <w:left w:val="none" w:sz="0" w:space="0" w:color="auto"/>
        <w:bottom w:val="none" w:sz="0" w:space="0" w:color="auto"/>
        <w:right w:val="none" w:sz="0" w:space="0" w:color="auto"/>
      </w:divBdr>
    </w:div>
    <w:div w:id="1807619315">
      <w:bodyDiv w:val="1"/>
      <w:marLeft w:val="0"/>
      <w:marRight w:val="0"/>
      <w:marTop w:val="0"/>
      <w:marBottom w:val="0"/>
      <w:divBdr>
        <w:top w:val="none" w:sz="0" w:space="0" w:color="auto"/>
        <w:left w:val="none" w:sz="0" w:space="0" w:color="auto"/>
        <w:bottom w:val="none" w:sz="0" w:space="0" w:color="auto"/>
        <w:right w:val="none" w:sz="0" w:space="0" w:color="auto"/>
      </w:divBdr>
    </w:div>
    <w:div w:id="1812554431">
      <w:bodyDiv w:val="1"/>
      <w:marLeft w:val="0"/>
      <w:marRight w:val="0"/>
      <w:marTop w:val="0"/>
      <w:marBottom w:val="0"/>
      <w:divBdr>
        <w:top w:val="none" w:sz="0" w:space="0" w:color="auto"/>
        <w:left w:val="none" w:sz="0" w:space="0" w:color="auto"/>
        <w:bottom w:val="none" w:sz="0" w:space="0" w:color="auto"/>
        <w:right w:val="none" w:sz="0" w:space="0" w:color="auto"/>
      </w:divBdr>
    </w:div>
    <w:div w:id="1813643354">
      <w:bodyDiv w:val="1"/>
      <w:marLeft w:val="0"/>
      <w:marRight w:val="0"/>
      <w:marTop w:val="0"/>
      <w:marBottom w:val="0"/>
      <w:divBdr>
        <w:top w:val="none" w:sz="0" w:space="0" w:color="auto"/>
        <w:left w:val="none" w:sz="0" w:space="0" w:color="auto"/>
        <w:bottom w:val="none" w:sz="0" w:space="0" w:color="auto"/>
        <w:right w:val="none" w:sz="0" w:space="0" w:color="auto"/>
      </w:divBdr>
    </w:div>
    <w:div w:id="1816097505">
      <w:bodyDiv w:val="1"/>
      <w:marLeft w:val="0"/>
      <w:marRight w:val="0"/>
      <w:marTop w:val="0"/>
      <w:marBottom w:val="0"/>
      <w:divBdr>
        <w:top w:val="none" w:sz="0" w:space="0" w:color="auto"/>
        <w:left w:val="none" w:sz="0" w:space="0" w:color="auto"/>
        <w:bottom w:val="none" w:sz="0" w:space="0" w:color="auto"/>
        <w:right w:val="none" w:sz="0" w:space="0" w:color="auto"/>
      </w:divBdr>
    </w:div>
    <w:div w:id="1882590584">
      <w:bodyDiv w:val="1"/>
      <w:marLeft w:val="0"/>
      <w:marRight w:val="0"/>
      <w:marTop w:val="0"/>
      <w:marBottom w:val="0"/>
      <w:divBdr>
        <w:top w:val="none" w:sz="0" w:space="0" w:color="auto"/>
        <w:left w:val="none" w:sz="0" w:space="0" w:color="auto"/>
        <w:bottom w:val="none" w:sz="0" w:space="0" w:color="auto"/>
        <w:right w:val="none" w:sz="0" w:space="0" w:color="auto"/>
      </w:divBdr>
    </w:div>
    <w:div w:id="1895308521">
      <w:bodyDiv w:val="1"/>
      <w:marLeft w:val="0"/>
      <w:marRight w:val="0"/>
      <w:marTop w:val="0"/>
      <w:marBottom w:val="0"/>
      <w:divBdr>
        <w:top w:val="none" w:sz="0" w:space="0" w:color="auto"/>
        <w:left w:val="none" w:sz="0" w:space="0" w:color="auto"/>
        <w:bottom w:val="none" w:sz="0" w:space="0" w:color="auto"/>
        <w:right w:val="none" w:sz="0" w:space="0" w:color="auto"/>
      </w:divBdr>
    </w:div>
    <w:div w:id="1965887671">
      <w:bodyDiv w:val="1"/>
      <w:marLeft w:val="0"/>
      <w:marRight w:val="0"/>
      <w:marTop w:val="0"/>
      <w:marBottom w:val="0"/>
      <w:divBdr>
        <w:top w:val="none" w:sz="0" w:space="0" w:color="auto"/>
        <w:left w:val="none" w:sz="0" w:space="0" w:color="auto"/>
        <w:bottom w:val="none" w:sz="0" w:space="0" w:color="auto"/>
        <w:right w:val="none" w:sz="0" w:space="0" w:color="auto"/>
      </w:divBdr>
    </w:div>
    <w:div w:id="1969161063">
      <w:bodyDiv w:val="1"/>
      <w:marLeft w:val="0"/>
      <w:marRight w:val="0"/>
      <w:marTop w:val="0"/>
      <w:marBottom w:val="0"/>
      <w:divBdr>
        <w:top w:val="none" w:sz="0" w:space="0" w:color="auto"/>
        <w:left w:val="none" w:sz="0" w:space="0" w:color="auto"/>
        <w:bottom w:val="none" w:sz="0" w:space="0" w:color="auto"/>
        <w:right w:val="none" w:sz="0" w:space="0" w:color="auto"/>
      </w:divBdr>
    </w:div>
    <w:div w:id="1969389559">
      <w:bodyDiv w:val="1"/>
      <w:marLeft w:val="0"/>
      <w:marRight w:val="0"/>
      <w:marTop w:val="0"/>
      <w:marBottom w:val="0"/>
      <w:divBdr>
        <w:top w:val="none" w:sz="0" w:space="0" w:color="auto"/>
        <w:left w:val="none" w:sz="0" w:space="0" w:color="auto"/>
        <w:bottom w:val="none" w:sz="0" w:space="0" w:color="auto"/>
        <w:right w:val="none" w:sz="0" w:space="0" w:color="auto"/>
      </w:divBdr>
    </w:div>
    <w:div w:id="1996377624">
      <w:bodyDiv w:val="1"/>
      <w:marLeft w:val="0"/>
      <w:marRight w:val="0"/>
      <w:marTop w:val="0"/>
      <w:marBottom w:val="0"/>
      <w:divBdr>
        <w:top w:val="none" w:sz="0" w:space="0" w:color="auto"/>
        <w:left w:val="none" w:sz="0" w:space="0" w:color="auto"/>
        <w:bottom w:val="none" w:sz="0" w:space="0" w:color="auto"/>
        <w:right w:val="none" w:sz="0" w:space="0" w:color="auto"/>
      </w:divBdr>
    </w:div>
    <w:div w:id="2019962414">
      <w:bodyDiv w:val="1"/>
      <w:marLeft w:val="0"/>
      <w:marRight w:val="0"/>
      <w:marTop w:val="0"/>
      <w:marBottom w:val="0"/>
      <w:divBdr>
        <w:top w:val="none" w:sz="0" w:space="0" w:color="auto"/>
        <w:left w:val="none" w:sz="0" w:space="0" w:color="auto"/>
        <w:bottom w:val="none" w:sz="0" w:space="0" w:color="auto"/>
        <w:right w:val="none" w:sz="0" w:space="0" w:color="auto"/>
      </w:divBdr>
    </w:div>
    <w:div w:id="2041126289">
      <w:bodyDiv w:val="1"/>
      <w:marLeft w:val="0"/>
      <w:marRight w:val="0"/>
      <w:marTop w:val="0"/>
      <w:marBottom w:val="0"/>
      <w:divBdr>
        <w:top w:val="none" w:sz="0" w:space="0" w:color="auto"/>
        <w:left w:val="none" w:sz="0" w:space="0" w:color="auto"/>
        <w:bottom w:val="none" w:sz="0" w:space="0" w:color="auto"/>
        <w:right w:val="none" w:sz="0" w:space="0" w:color="auto"/>
      </w:divBdr>
    </w:div>
    <w:div w:id="2054303271">
      <w:bodyDiv w:val="1"/>
      <w:marLeft w:val="0"/>
      <w:marRight w:val="0"/>
      <w:marTop w:val="0"/>
      <w:marBottom w:val="0"/>
      <w:divBdr>
        <w:top w:val="none" w:sz="0" w:space="0" w:color="auto"/>
        <w:left w:val="none" w:sz="0" w:space="0" w:color="auto"/>
        <w:bottom w:val="none" w:sz="0" w:space="0" w:color="auto"/>
        <w:right w:val="none" w:sz="0" w:space="0" w:color="auto"/>
      </w:divBdr>
    </w:div>
    <w:div w:id="2061248399">
      <w:bodyDiv w:val="1"/>
      <w:marLeft w:val="0"/>
      <w:marRight w:val="0"/>
      <w:marTop w:val="0"/>
      <w:marBottom w:val="0"/>
      <w:divBdr>
        <w:top w:val="none" w:sz="0" w:space="0" w:color="auto"/>
        <w:left w:val="none" w:sz="0" w:space="0" w:color="auto"/>
        <w:bottom w:val="none" w:sz="0" w:space="0" w:color="auto"/>
        <w:right w:val="none" w:sz="0" w:space="0" w:color="auto"/>
      </w:divBdr>
    </w:div>
    <w:div w:id="2121802242">
      <w:bodyDiv w:val="1"/>
      <w:marLeft w:val="0"/>
      <w:marRight w:val="0"/>
      <w:marTop w:val="0"/>
      <w:marBottom w:val="0"/>
      <w:divBdr>
        <w:top w:val="none" w:sz="0" w:space="0" w:color="auto"/>
        <w:left w:val="none" w:sz="0" w:space="0" w:color="auto"/>
        <w:bottom w:val="none" w:sz="0" w:space="0" w:color="auto"/>
        <w:right w:val="none" w:sz="0" w:space="0" w:color="auto"/>
      </w:divBdr>
    </w:div>
    <w:div w:id="2128503292">
      <w:bodyDiv w:val="1"/>
      <w:marLeft w:val="0"/>
      <w:marRight w:val="0"/>
      <w:marTop w:val="0"/>
      <w:marBottom w:val="0"/>
      <w:divBdr>
        <w:top w:val="none" w:sz="0" w:space="0" w:color="auto"/>
        <w:left w:val="none" w:sz="0" w:space="0" w:color="auto"/>
        <w:bottom w:val="none" w:sz="0" w:space="0" w:color="auto"/>
        <w:right w:val="none" w:sz="0" w:space="0" w:color="auto"/>
      </w:divBdr>
    </w:div>
    <w:div w:id="2132630579">
      <w:bodyDiv w:val="1"/>
      <w:marLeft w:val="0"/>
      <w:marRight w:val="0"/>
      <w:marTop w:val="0"/>
      <w:marBottom w:val="0"/>
      <w:divBdr>
        <w:top w:val="none" w:sz="0" w:space="0" w:color="auto"/>
        <w:left w:val="none" w:sz="0" w:space="0" w:color="auto"/>
        <w:bottom w:val="none" w:sz="0" w:space="0" w:color="auto"/>
        <w:right w:val="none" w:sz="0" w:space="0" w:color="auto"/>
      </w:divBdr>
    </w:div>
    <w:div w:id="2143493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7.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ustomXml" Target="../customXml/item4.xml"/><Relationship Id="rId10" Type="http://schemas.openxmlformats.org/officeDocument/2006/relationships/chart" Target="charts/chart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alrawi\AppData\Local\Temp\Rar$DIa0.024\ECO_Qartarly-Annual_EN_V3.3.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scfsnas01\SCAD_CIFS_SHARE\SCAD_Share_Folder\SCAD%20Sectors\Statistics%20Sector\Economic%20Statistics\NationalAccounts\National%20Accounts\Sub%20services%20-GDP%20Quarterly\7_Disseminate\Quarterly%20GDP\2019\Q1%202019\Final%20QGDP%20Q1%202019%20tables%20(003).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scfsnas01\SCAD_CIFS_SHARE\SCAD_Share_Folder\SCAD%20Sectors\Statistics%20Sector\Economic%20Statistics\NationalAccounts\National%20Accounts\Sub%20services%20-GDP%20Quarterly\7_Disseminate\Quarterly%20GDP\2019\Q1%202019\Final%20QGDP%20Q1%202019%20tables%20(003).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scfsnas01\SCAD_CIFS_SHARE\SCAD_Share_Folder\SCAD%20Sectors\Statistics%20Sector\Economic%20Statistics\NationalAccounts\National%20Accounts\Sub%20services%20-GDP%20Quarterly\7_Disseminate\Quarterly%20GDP\2019\Q1%202019\Final%20QGDP%20Q1%202019%20tables%20(0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cfsnas01\SCAD_CIFS_SHARE\SCAD_Share_Folder\SCAD%20Sectors\Statistics%20Sector\Economic%20Statistics\NationalAccounts\National%20Accounts\Sub%20services%20-GDP%20Quarterly\7_Disseminate\Quarterly%20GDP\2019\Q1%202019\Final%20QGDP%20Q1%202019%20tables%20(003).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cfsnas01\SCAD_CIFS_SHARE\SCAD_Share_Folder\SCAD%20Sectors\Statistics%20Sector\Economic%20Statistics\NationalAccounts\National%20Accounts\Sub%20services%20-GDP%20Quarterly\7_Disseminate\Quarterly%20GDP\2019\Q1%202019\Final%20QGDP%20Q1%202019%20tables%20(003).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cfsnas01\SCAD_CIFS_SHARE\SCAD_Share_Folder\SCAD%20Sectors\Statistics%20Sector\Economic%20Statistics\NationalAccounts\National%20Accounts\Sub%20services%20-GDP%20Quarterly\7_Disseminate\Quarterly%20GDP\2019\Q1%202019\Final%20QGDP%20Q1%202019%20tables%20(00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cfsnas01\SCAD_CIFS_SHARE\SCAD_Share_Folder\SCAD%20Sectors\Statistics%20Sector\Economic%20Statistics\NationalAccounts\National%20Accounts\Sub%20services%20-GDP%20Quarterly\7_Disseminate\Quarterly%20GDP\2019\Q1%202019\Final%20QGDP%20Q1%202019%20tables%20(003).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scfsnas01\SCAD_CIFS_SHARE\SCAD_Share_Folder\SCAD%20Sectors\Statistics%20Sector\Economic%20Statistics\NationalAccounts\National%20Accounts\Sub%20services%20-GDP%20Quarterly\7_Disseminate\Quarterly%20GDP\2018\Q2%202018\English\infographic\constant.xlsx"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cfsnas01\SCAD_CIFS_SHARE\SCAD_Share_Folder\SCAD%20Sectors\Statistics%20Sector\Economic%20Statistics\NationalAccounts\National%20Accounts\Sub%20services%20-GDP%20Quarterly\7_Disseminate\Quarterly%20GDP\2019\Q1%202019\Final%20QGDP%20Q1%202019%20tables%20(0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'Charts En'!$M$5</c:f>
              <c:strCache>
                <c:ptCount val="1"/>
                <c:pt idx="0">
                  <c:v>GDP at current prices </c:v>
                </c:pt>
              </c:strCache>
            </c:strRef>
          </c:tx>
          <c:spPr>
            <a:ln w="28575" cap="rnd">
              <a:solidFill>
                <a:srgbClr val="D6A461"/>
              </a:solidFill>
              <a:round/>
            </a:ln>
            <a:effectLst/>
          </c:spPr>
          <c:marker>
            <c:symbol val="none"/>
          </c:marker>
          <c:dLbls>
            <c:dLbl>
              <c:idx val="5"/>
              <c:layout>
                <c:manualLayout>
                  <c:x val="-3.3875109361329835E-2"/>
                  <c:y val="3.47568533100029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 En'!$N$4:$S$4</c:f>
              <c:strCache>
                <c:ptCount val="6"/>
                <c:pt idx="0">
                  <c:v>Q4 2017</c:v>
                </c:pt>
                <c:pt idx="1">
                  <c:v>Q12018</c:v>
                </c:pt>
                <c:pt idx="2">
                  <c:v>Q22018</c:v>
                </c:pt>
                <c:pt idx="3">
                  <c:v>Q32018</c:v>
                </c:pt>
                <c:pt idx="4">
                  <c:v>Q42018</c:v>
                </c:pt>
                <c:pt idx="5">
                  <c:v>Q12019</c:v>
                </c:pt>
              </c:strCache>
            </c:strRef>
          </c:cat>
          <c:val>
            <c:numRef>
              <c:f>'Charts En'!$N$5:$S$5</c:f>
              <c:numCache>
                <c:formatCode>0.0</c:formatCode>
                <c:ptCount val="6"/>
                <c:pt idx="0">
                  <c:v>5.8533255145276408</c:v>
                </c:pt>
                <c:pt idx="1">
                  <c:v>9.4209698239413164</c:v>
                </c:pt>
                <c:pt idx="2">
                  <c:v>17.696212542677703</c:v>
                </c:pt>
                <c:pt idx="3">
                  <c:v>17.875477012563312</c:v>
                </c:pt>
                <c:pt idx="4">
                  <c:v>12.875879218465</c:v>
                </c:pt>
                <c:pt idx="5">
                  <c:v>3.2524776678639622</c:v>
                </c:pt>
              </c:numCache>
            </c:numRef>
          </c:val>
          <c:smooth val="0"/>
        </c:ser>
        <c:ser>
          <c:idx val="1"/>
          <c:order val="1"/>
          <c:tx>
            <c:strRef>
              <c:f>'Charts En'!$M$6</c:f>
              <c:strCache>
                <c:ptCount val="1"/>
                <c:pt idx="0">
                  <c:v>GDP at constant 2007 prices</c:v>
                </c:pt>
              </c:strCache>
            </c:strRef>
          </c:tx>
          <c:spPr>
            <a:ln w="28575" cap="rnd">
              <a:solidFill>
                <a:srgbClr val="5628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 En'!$N$4:$S$4</c:f>
              <c:strCache>
                <c:ptCount val="6"/>
                <c:pt idx="0">
                  <c:v>Q4 2017</c:v>
                </c:pt>
                <c:pt idx="1">
                  <c:v>Q12018</c:v>
                </c:pt>
                <c:pt idx="2">
                  <c:v>Q22018</c:v>
                </c:pt>
                <c:pt idx="3">
                  <c:v>Q32018</c:v>
                </c:pt>
                <c:pt idx="4">
                  <c:v>Q42018</c:v>
                </c:pt>
                <c:pt idx="5">
                  <c:v>Q12019</c:v>
                </c:pt>
              </c:strCache>
            </c:strRef>
          </c:cat>
          <c:val>
            <c:numRef>
              <c:f>'Charts En'!$N$6:$S$6</c:f>
              <c:numCache>
                <c:formatCode>#,##0.0</c:formatCode>
                <c:ptCount val="6"/>
                <c:pt idx="0">
                  <c:v>-1.6407411897685353</c:v>
                </c:pt>
                <c:pt idx="1">
                  <c:v>2.5409060616499168E-2</c:v>
                </c:pt>
                <c:pt idx="2">
                  <c:v>2.1341499084902571</c:v>
                </c:pt>
                <c:pt idx="3">
                  <c:v>1.8064652119261337</c:v>
                </c:pt>
                <c:pt idx="4">
                  <c:v>3.6984212508166303</c:v>
                </c:pt>
                <c:pt idx="5">
                  <c:v>5.7152961774639799</c:v>
                </c:pt>
              </c:numCache>
            </c:numRef>
          </c:val>
          <c:smooth val="0"/>
        </c:ser>
        <c:dLbls>
          <c:dLblPos val="t"/>
          <c:showLegendKey val="0"/>
          <c:showVal val="1"/>
          <c:showCatName val="0"/>
          <c:showSerName val="0"/>
          <c:showPercent val="0"/>
          <c:showBubbleSize val="0"/>
        </c:dLbls>
        <c:smooth val="0"/>
        <c:axId val="-91806480"/>
        <c:axId val="-91803760"/>
      </c:lineChart>
      <c:catAx>
        <c:axId val="-91806480"/>
        <c:scaling>
          <c:orientation val="minMax"/>
        </c:scaling>
        <c:delete val="0"/>
        <c:axPos val="b"/>
        <c:numFmt formatCode="General" sourceLinked="1"/>
        <c:majorTickMark val="none"/>
        <c:minorTickMark val="none"/>
        <c:tickLblPos val="low"/>
        <c:spPr>
          <a:noFill/>
          <a:ln w="9525" cap="flat" cmpd="sng" algn="ctr">
            <a:gradFill>
              <a:gsLst>
                <a:gs pos="5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03760"/>
        <c:crosses val="autoZero"/>
        <c:auto val="1"/>
        <c:lblAlgn val="ctr"/>
        <c:lblOffset val="100"/>
        <c:noMultiLvlLbl val="0"/>
      </c:catAx>
      <c:valAx>
        <c:axId val="-91803760"/>
        <c:scaling>
          <c:orientation val="minMax"/>
          <c:max val="4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layout/>
          <c:overlay val="0"/>
          <c:spPr>
            <a:noFill/>
            <a:ln>
              <a:solidFill>
                <a:srgbClr val="AA9F82"/>
              </a:solid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06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45327473600682"/>
          <c:y val="5.0925925925925923E-2"/>
          <c:w val="0.85099127143990705"/>
          <c:h val="0.827515327152054"/>
        </c:manualLayout>
      </c:layout>
      <c:lineChart>
        <c:grouping val="standard"/>
        <c:varyColors val="0"/>
        <c:ser>
          <c:idx val="0"/>
          <c:order val="0"/>
          <c:spPr>
            <a:ln w="28575" cap="rnd">
              <a:solidFill>
                <a:srgbClr val="D6A461"/>
              </a:solidFill>
              <a:round/>
            </a:ln>
            <a:effectLst/>
          </c:spPr>
          <c:marker>
            <c:symbol val="none"/>
          </c:marker>
          <c:dLbls>
            <c:dLbl>
              <c:idx val="0"/>
              <c:layout>
                <c:manualLayout>
                  <c:x val="-1.7441860465116279E-2"/>
                  <c:y val="-3.36530260556939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193798449612437E-2"/>
                  <c:y val="4.247786821306422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1317829457364341E-2"/>
                  <c:y val="-3.303834194349444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3255813953488372E-2"/>
                  <c:y val="2.831857880870939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937984496124031E-2"/>
                  <c:y val="-3.30383419434944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 En'!$N$154:$S$154</c:f>
              <c:strCache>
                <c:ptCount val="6"/>
                <c:pt idx="0">
                  <c:v>Q4 2017</c:v>
                </c:pt>
                <c:pt idx="1">
                  <c:v>Q12018</c:v>
                </c:pt>
                <c:pt idx="2">
                  <c:v>Q22018</c:v>
                </c:pt>
                <c:pt idx="3">
                  <c:v>Q32018</c:v>
                </c:pt>
                <c:pt idx="4">
                  <c:v>Q42018</c:v>
                </c:pt>
                <c:pt idx="5">
                  <c:v>Q12019</c:v>
                </c:pt>
              </c:strCache>
            </c:strRef>
          </c:cat>
          <c:val>
            <c:numRef>
              <c:f>'Charts En'!$N$155:$S$155</c:f>
              <c:numCache>
                <c:formatCode>0.0</c:formatCode>
                <c:ptCount val="6"/>
                <c:pt idx="0">
                  <c:v>2.2719443395578187</c:v>
                </c:pt>
                <c:pt idx="1">
                  <c:v>3.2660215569272788</c:v>
                </c:pt>
                <c:pt idx="2">
                  <c:v>12.116432659021491</c:v>
                </c:pt>
                <c:pt idx="3">
                  <c:v>-12.365363818407593</c:v>
                </c:pt>
                <c:pt idx="4">
                  <c:v>1.1910483094582425</c:v>
                </c:pt>
                <c:pt idx="5">
                  <c:v>-2.3806979515594962</c:v>
                </c:pt>
              </c:numCache>
            </c:numRef>
          </c:val>
          <c:smooth val="0"/>
        </c:ser>
        <c:dLbls>
          <c:showLegendKey val="0"/>
          <c:showVal val="0"/>
          <c:showCatName val="0"/>
          <c:showSerName val="0"/>
          <c:showPercent val="0"/>
          <c:showBubbleSize val="0"/>
        </c:dLbls>
        <c:smooth val="0"/>
        <c:axId val="-91793968"/>
        <c:axId val="-151602608"/>
      </c:lineChart>
      <c:catAx>
        <c:axId val="-917939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02608"/>
        <c:crosses val="autoZero"/>
        <c:auto val="1"/>
        <c:lblAlgn val="ctr"/>
        <c:lblOffset val="100"/>
        <c:noMultiLvlLbl val="0"/>
      </c:catAx>
      <c:valAx>
        <c:axId val="-151602608"/>
        <c:scaling>
          <c:orientation val="minMax"/>
          <c:max val="50"/>
          <c:min val="-3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3968"/>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06993884562162"/>
          <c:y val="6.5392573005733839E-2"/>
          <c:w val="0.86211334236766235"/>
          <c:h val="0.85139268305747517"/>
        </c:manualLayout>
      </c:layout>
      <c:lineChart>
        <c:grouping val="standard"/>
        <c:varyColors val="0"/>
        <c:ser>
          <c:idx val="0"/>
          <c:order val="0"/>
          <c:spPr>
            <a:ln>
              <a:solidFill>
                <a:srgbClr val="D6A461"/>
              </a:solidFill>
            </a:ln>
          </c:spPr>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 En'!$N$178:$S$178</c:f>
              <c:strCache>
                <c:ptCount val="6"/>
                <c:pt idx="0">
                  <c:v>Q4 2017</c:v>
                </c:pt>
                <c:pt idx="1">
                  <c:v>Q12018</c:v>
                </c:pt>
                <c:pt idx="2">
                  <c:v>Q22018</c:v>
                </c:pt>
                <c:pt idx="3">
                  <c:v>Q32018</c:v>
                </c:pt>
                <c:pt idx="4">
                  <c:v>Q42018</c:v>
                </c:pt>
                <c:pt idx="5">
                  <c:v>Q12019</c:v>
                </c:pt>
              </c:strCache>
            </c:strRef>
          </c:cat>
          <c:val>
            <c:numRef>
              <c:f>'Charts En'!$N$179:$S$179</c:f>
              <c:numCache>
                <c:formatCode>0.0</c:formatCode>
                <c:ptCount val="6"/>
                <c:pt idx="0">
                  <c:v>-3.8057207155828277E-2</c:v>
                </c:pt>
                <c:pt idx="1">
                  <c:v>1.6351602651076602</c:v>
                </c:pt>
                <c:pt idx="2">
                  <c:v>1.0163500947201642</c:v>
                </c:pt>
                <c:pt idx="3">
                  <c:v>-1.3146463442890388</c:v>
                </c:pt>
                <c:pt idx="4">
                  <c:v>-2.2260952597880856</c:v>
                </c:pt>
                <c:pt idx="5">
                  <c:v>9.9369527453840867E-2</c:v>
                </c:pt>
              </c:numCache>
            </c:numRef>
          </c:val>
          <c:smooth val="0"/>
        </c:ser>
        <c:dLbls>
          <c:showLegendKey val="0"/>
          <c:showVal val="0"/>
          <c:showCatName val="0"/>
          <c:showSerName val="0"/>
          <c:showPercent val="0"/>
          <c:showBubbleSize val="0"/>
        </c:dLbls>
        <c:smooth val="0"/>
        <c:axId val="-151602064"/>
        <c:axId val="-151601520"/>
      </c:lineChart>
      <c:catAx>
        <c:axId val="-15160206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01520"/>
        <c:crosses val="autoZero"/>
        <c:auto val="1"/>
        <c:lblAlgn val="ctr"/>
        <c:lblOffset val="100"/>
        <c:noMultiLvlLbl val="0"/>
      </c:catAx>
      <c:valAx>
        <c:axId val="-151601520"/>
        <c:scaling>
          <c:orientation val="minMax"/>
          <c:max val="10"/>
          <c:min val="-6"/>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02064"/>
        <c:crosses val="autoZero"/>
        <c:crossBetween val="between"/>
        <c:majorUnit val="2"/>
        <c:min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99578984551814"/>
          <c:y val="3.8442821848066119E-2"/>
          <c:w val="0.86872155065123891"/>
          <c:h val="0.79273307970408435"/>
        </c:manualLayout>
      </c:layout>
      <c:lineChart>
        <c:grouping val="standard"/>
        <c:varyColors val="0"/>
        <c:ser>
          <c:idx val="0"/>
          <c:order val="0"/>
          <c:spPr>
            <a:ln w="28575" cap="rnd">
              <a:solidFill>
                <a:srgbClr val="D6A461"/>
              </a:solidFill>
              <a:round/>
            </a:ln>
            <a:effectLst/>
          </c:spPr>
          <c:marker>
            <c:symbol val="none"/>
          </c:marker>
          <c:dLbls>
            <c:dLbl>
              <c:idx val="0"/>
              <c:layout>
                <c:manualLayout>
                  <c:x val="-1.1841428153922732E-2"/>
                  <c:y val="-3.61928443155131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117149088758232E-2"/>
                  <c:y val="-3.494460609086421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8545915328659036E-2"/>
                  <c:y val="-4.19438988913082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9616010133720986E-2"/>
                  <c:y val="-4.210734829943674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942175068492023E-2"/>
                  <c:y val="-4.894319169175256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3818466353677622E-2"/>
                  <c:y val="-4.51977286234826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En'!$N$197:$S$197</c:f>
              <c:strCache>
                <c:ptCount val="6"/>
                <c:pt idx="0">
                  <c:v>Q4 2017</c:v>
                </c:pt>
                <c:pt idx="1">
                  <c:v>Q12018</c:v>
                </c:pt>
                <c:pt idx="2">
                  <c:v>Q22018</c:v>
                </c:pt>
                <c:pt idx="3">
                  <c:v>Q32018</c:v>
                </c:pt>
                <c:pt idx="4">
                  <c:v>Q42018</c:v>
                </c:pt>
                <c:pt idx="5">
                  <c:v>Q12019</c:v>
                </c:pt>
              </c:strCache>
            </c:strRef>
          </c:cat>
          <c:val>
            <c:numRef>
              <c:f>'Charts En'!$N$198:$S$198</c:f>
              <c:numCache>
                <c:formatCode>0.0</c:formatCode>
                <c:ptCount val="6"/>
                <c:pt idx="0">
                  <c:v>9.1001806541660901</c:v>
                </c:pt>
                <c:pt idx="1">
                  <c:v>7.2043502625266154</c:v>
                </c:pt>
                <c:pt idx="2">
                  <c:v>5.6943595914080047</c:v>
                </c:pt>
                <c:pt idx="3">
                  <c:v>4.3581461293048518</c:v>
                </c:pt>
                <c:pt idx="4">
                  <c:v>3.0686907534445806</c:v>
                </c:pt>
                <c:pt idx="5">
                  <c:v>3.052827763812882</c:v>
                </c:pt>
              </c:numCache>
            </c:numRef>
          </c:val>
          <c:smooth val="0"/>
        </c:ser>
        <c:dLbls>
          <c:showLegendKey val="0"/>
          <c:showVal val="0"/>
          <c:showCatName val="0"/>
          <c:showSerName val="0"/>
          <c:showPercent val="0"/>
          <c:showBubbleSize val="0"/>
        </c:dLbls>
        <c:smooth val="0"/>
        <c:axId val="-151592816"/>
        <c:axId val="-151594448"/>
      </c:lineChart>
      <c:catAx>
        <c:axId val="-1515928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594448"/>
        <c:crosses val="autoZero"/>
        <c:auto val="1"/>
        <c:lblAlgn val="ctr"/>
        <c:lblOffset val="100"/>
        <c:noMultiLvlLbl val="0"/>
      </c:catAx>
      <c:valAx>
        <c:axId val="-151594448"/>
        <c:scaling>
          <c:orientation val="minMax"/>
          <c:max val="15"/>
          <c:min val="-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592816"/>
        <c:crosses val="autoZero"/>
        <c:crossBetween val="between"/>
        <c:min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009078783184879E-2"/>
          <c:y val="4.653867675517688E-2"/>
          <c:w val="0.42158478550836881"/>
          <c:h val="0.89761491113861092"/>
        </c:manualLayout>
      </c:layout>
      <c:pieChart>
        <c:varyColors val="1"/>
        <c:ser>
          <c:idx val="0"/>
          <c:order val="0"/>
          <c:spPr>
            <a:solidFill>
              <a:srgbClr val="D6A461"/>
            </a:solidFill>
          </c:spPr>
          <c:dPt>
            <c:idx val="0"/>
            <c:bubble3D val="0"/>
            <c:spPr>
              <a:solidFill>
                <a:srgbClr val="562800"/>
              </a:solidFill>
              <a:ln>
                <a:noFill/>
              </a:ln>
              <a:effectLst/>
              <a:scene3d>
                <a:camera prst="orthographicFront"/>
                <a:lightRig rig="brightRoom" dir="t"/>
              </a:scene3d>
              <a:sp3d prstMaterial="flat">
                <a:bevelT w="50800" h="101600" prst="angle"/>
                <a:contourClr>
                  <a:srgbClr val="000000"/>
                </a:contourClr>
              </a:sp3d>
            </c:spPr>
          </c:dPt>
          <c:dPt>
            <c:idx val="1"/>
            <c:bubble3D val="0"/>
            <c:explosion val="1"/>
            <c:spPr>
              <a:solidFill>
                <a:srgbClr val="D6A461"/>
              </a:solidFill>
              <a:ln>
                <a:noFill/>
              </a:ln>
              <a:effectLst/>
              <a:scene3d>
                <a:camera prst="orthographicFront"/>
                <a:lightRig rig="brightRoom" dir="t"/>
              </a:scene3d>
              <a:sp3d prstMaterial="flat">
                <a:bevelT w="50800" h="101600" prst="angle"/>
                <a:contourClr>
                  <a:srgbClr val="000000"/>
                </a:contourClr>
              </a:sp3d>
            </c:spPr>
          </c:dPt>
          <c:dLbls>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0"/>
              <c:showCatName val="0"/>
              <c:showSerName val="0"/>
              <c:showPercent val="1"/>
              <c:showBubbleSize val="0"/>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'Charts En'!$M$21:$M$22</c:f>
              <c:strCache>
                <c:ptCount val="2"/>
                <c:pt idx="0">
                  <c:v>Oil</c:v>
                </c:pt>
                <c:pt idx="1">
                  <c:v>Non-oil</c:v>
                </c:pt>
              </c:strCache>
            </c:strRef>
          </c:cat>
          <c:val>
            <c:numRef>
              <c:f>'Charts En'!$N$21:$N$22</c:f>
              <c:numCache>
                <c:formatCode>0.0</c:formatCode>
                <c:ptCount val="2"/>
                <c:pt idx="0">
                  <c:v>39.779700719417804</c:v>
                </c:pt>
                <c:pt idx="1">
                  <c:v>60.220299280582196</c:v>
                </c:pt>
              </c:numCache>
            </c:numRef>
          </c:val>
        </c:ser>
        <c:dLbls>
          <c:dLblPos val="inEnd"/>
          <c:showLegendKey val="0"/>
          <c:showVal val="0"/>
          <c:showCatName val="0"/>
          <c:showSerName val="0"/>
          <c:showPercent val="1"/>
          <c:showBubbleSize val="0"/>
          <c:showLeaderLines val="1"/>
        </c:dLbls>
        <c:firstSliceAng val="360"/>
      </c:pieChart>
      <c:spPr>
        <a:noFill/>
        <a:ln>
          <a:noFill/>
        </a:ln>
        <a:effectLst/>
      </c:spPr>
    </c:plotArea>
    <c:legend>
      <c:legendPos val="r"/>
      <c:layout>
        <c:manualLayout>
          <c:xMode val="edge"/>
          <c:yMode val="edge"/>
          <c:x val="0.86710003872466757"/>
          <c:y val="0.42146525008309171"/>
          <c:w val="0.13290001417137171"/>
          <c:h val="0.156795522510905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Q4 2018 with Q4 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Non-Financial</c:v>
                </c:pt>
                <c:pt idx="1">
                  <c:v>Financial</c:v>
                </c:pt>
                <c:pt idx="2">
                  <c:v>General Government</c:v>
                </c:pt>
                <c:pt idx="3">
                  <c:v>Households</c:v>
                </c:pt>
                <c:pt idx="4">
                  <c:v>GDP</c:v>
                </c:pt>
              </c:strCache>
            </c:strRef>
          </c:cat>
          <c:val>
            <c:numRef>
              <c:f>Sheet1!$B$2:$B$6</c:f>
              <c:numCache>
                <c:formatCode>0.0</c:formatCode>
                <c:ptCount val="5"/>
                <c:pt idx="0">
                  <c:v>14.323032677379466</c:v>
                </c:pt>
                <c:pt idx="1">
                  <c:v>9.0332403091539568</c:v>
                </c:pt>
                <c:pt idx="2">
                  <c:v>1.8496234904814335</c:v>
                </c:pt>
                <c:pt idx="3">
                  <c:v>8.0045844288267212</c:v>
                </c:pt>
                <c:pt idx="4">
                  <c:v>12.875879218465</c:v>
                </c:pt>
              </c:numCache>
            </c:numRef>
          </c:val>
        </c:ser>
        <c:ser>
          <c:idx val="1"/>
          <c:order val="1"/>
          <c:tx>
            <c:strRef>
              <c:f>Sheet1!$C$1</c:f>
              <c:strCache>
                <c:ptCount val="1"/>
                <c:pt idx="0">
                  <c:v>Q1 2019 with Q1 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Non-Financial</c:v>
                </c:pt>
                <c:pt idx="1">
                  <c:v>Financial</c:v>
                </c:pt>
                <c:pt idx="2">
                  <c:v>General Government</c:v>
                </c:pt>
                <c:pt idx="3">
                  <c:v>Households</c:v>
                </c:pt>
                <c:pt idx="4">
                  <c:v>GDP</c:v>
                </c:pt>
              </c:strCache>
            </c:strRef>
          </c:cat>
          <c:val>
            <c:numRef>
              <c:f>Sheet1!$C$2:$C$6</c:f>
              <c:numCache>
                <c:formatCode>0.0</c:formatCode>
                <c:ptCount val="5"/>
                <c:pt idx="0">
                  <c:v>3.5219238185534962</c:v>
                </c:pt>
                <c:pt idx="1">
                  <c:v>0.88953963399676095</c:v>
                </c:pt>
                <c:pt idx="2">
                  <c:v>2.5873931935217032</c:v>
                </c:pt>
                <c:pt idx="3">
                  <c:v>7.7635723478346241</c:v>
                </c:pt>
                <c:pt idx="4">
                  <c:v>3.2524776678639622</c:v>
                </c:pt>
              </c:numCache>
            </c:numRef>
          </c:val>
        </c:ser>
        <c:dLbls>
          <c:dLblPos val="outEnd"/>
          <c:showLegendKey val="0"/>
          <c:showVal val="1"/>
          <c:showCatName val="0"/>
          <c:showSerName val="0"/>
          <c:showPercent val="0"/>
          <c:showBubbleSize val="0"/>
        </c:dLbls>
        <c:gapWidth val="219"/>
        <c:overlap val="-27"/>
        <c:axId val="-91790160"/>
        <c:axId val="-91795056"/>
      </c:barChart>
      <c:catAx>
        <c:axId val="-917901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5056"/>
        <c:crosses val="autoZero"/>
        <c:auto val="1"/>
        <c:lblAlgn val="ctr"/>
        <c:lblOffset val="100"/>
        <c:noMultiLvlLbl val="0"/>
      </c:catAx>
      <c:valAx>
        <c:axId val="-917950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0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91154993459579"/>
          <c:y val="5.6737577130816869E-2"/>
          <c:w val="0.84508078541349796"/>
          <c:h val="0.81861670360067273"/>
        </c:manualLayout>
      </c:layout>
      <c:lineChart>
        <c:grouping val="standard"/>
        <c:varyColors val="0"/>
        <c:ser>
          <c:idx val="0"/>
          <c:order val="0"/>
          <c:spPr>
            <a:ln w="28575" cap="rnd">
              <a:solidFill>
                <a:srgbClr val="D6A461"/>
              </a:solidFill>
              <a:round/>
            </a:ln>
            <a:effectLst/>
          </c:spPr>
          <c:marker>
            <c:symbol val="none"/>
          </c:marker>
          <c:dLbls>
            <c:dLbl>
              <c:idx val="0"/>
              <c:layout>
                <c:manualLayout>
                  <c:x val="-3.3866272804604594E-2"/>
                  <c:y val="-3.47383972213054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2433124526622193E-2"/>
                  <c:y val="-4.0225847517563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3584652046971479E-2"/>
                  <c:y val="-4.01747685730900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9496779051652173E-2"/>
                  <c:y val="-3.04493375453817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940131617722739E-2"/>
                  <c:y val="-3.024580759740361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6100660023909867E-2"/>
                  <c:y val="-4.5266553507158913E-2"/>
                </c:manualLayout>
              </c:layout>
              <c:showLegendKey val="0"/>
              <c:showVal val="1"/>
              <c:showCatName val="0"/>
              <c:showSerName val="0"/>
              <c:showPercent val="0"/>
              <c:showBubbleSize val="0"/>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En'!$M$49:$R$49</c:f>
              <c:strCache>
                <c:ptCount val="6"/>
                <c:pt idx="0">
                  <c:v>Q4 2017</c:v>
                </c:pt>
                <c:pt idx="1">
                  <c:v>Q12018</c:v>
                </c:pt>
                <c:pt idx="2">
                  <c:v>Q22018</c:v>
                </c:pt>
                <c:pt idx="3">
                  <c:v>Q32018</c:v>
                </c:pt>
                <c:pt idx="4">
                  <c:v>Q42018</c:v>
                </c:pt>
                <c:pt idx="5">
                  <c:v>Q12019</c:v>
                </c:pt>
              </c:strCache>
            </c:strRef>
          </c:cat>
          <c:val>
            <c:numRef>
              <c:f>'Charts En'!$M$50:$R$50</c:f>
              <c:numCache>
                <c:formatCode>0.0</c:formatCode>
                <c:ptCount val="6"/>
                <c:pt idx="0">
                  <c:v>5.9301910434184535</c:v>
                </c:pt>
                <c:pt idx="1">
                  <c:v>10.287949466265122</c:v>
                </c:pt>
                <c:pt idx="2">
                  <c:v>19.192825246094291</c:v>
                </c:pt>
                <c:pt idx="3">
                  <c:v>21.642322846494345</c:v>
                </c:pt>
                <c:pt idx="4">
                  <c:v>14.323032677379466</c:v>
                </c:pt>
                <c:pt idx="5">
                  <c:v>3.5219238185534962</c:v>
                </c:pt>
              </c:numCache>
            </c:numRef>
          </c:val>
          <c:smooth val="0"/>
        </c:ser>
        <c:dLbls>
          <c:showLegendKey val="0"/>
          <c:showVal val="0"/>
          <c:showCatName val="0"/>
          <c:showSerName val="0"/>
          <c:showPercent val="0"/>
          <c:showBubbleSize val="0"/>
        </c:dLbls>
        <c:smooth val="0"/>
        <c:axId val="-91805936"/>
        <c:axId val="-91784720"/>
      </c:lineChart>
      <c:catAx>
        <c:axId val="-9180593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4720"/>
        <c:crosses val="autoZero"/>
        <c:auto val="1"/>
        <c:lblAlgn val="ctr"/>
        <c:lblOffset val="100"/>
        <c:noMultiLvlLbl val="0"/>
      </c:catAx>
      <c:valAx>
        <c:axId val="-91784720"/>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05936"/>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37924389572172"/>
          <c:y val="8.7487461236371286E-2"/>
          <c:w val="0.83845390007605325"/>
          <c:h val="0.75878307519252397"/>
        </c:manualLayout>
      </c:layout>
      <c:lineChart>
        <c:grouping val="standard"/>
        <c:varyColors val="0"/>
        <c:ser>
          <c:idx val="0"/>
          <c:order val="0"/>
          <c:spPr>
            <a:ln w="28575" cap="rnd">
              <a:solidFill>
                <a:srgbClr val="D6A461"/>
              </a:solidFill>
              <a:round/>
            </a:ln>
            <a:effectLst/>
          </c:spPr>
          <c:marker>
            <c:symbol val="none"/>
          </c:marker>
          <c:dLbls>
            <c:dLbl>
              <c:idx val="0"/>
              <c:layout>
                <c:manualLayout>
                  <c:x val="-2.2880911489034726E-2"/>
                  <c:y val="-3.6308629064946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281325802232274E-2"/>
                  <c:y val="-4.03429211832738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441491527511382E-2"/>
                  <c:y val="-2.42057527099643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1201242939592755E-2"/>
                  <c:y val="3.630862906494638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9121160076953239E-2"/>
                  <c:y val="-2.42057527099643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441491527511306E-2"/>
                  <c:y val="-3.227433694661900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En'!$N$69:$S$69</c:f>
              <c:strCache>
                <c:ptCount val="6"/>
                <c:pt idx="0">
                  <c:v>Q4 2017</c:v>
                </c:pt>
                <c:pt idx="1">
                  <c:v>Q12018</c:v>
                </c:pt>
                <c:pt idx="2">
                  <c:v>Q22018</c:v>
                </c:pt>
                <c:pt idx="3">
                  <c:v>Q32018</c:v>
                </c:pt>
                <c:pt idx="4">
                  <c:v>Q42018</c:v>
                </c:pt>
                <c:pt idx="5">
                  <c:v>Q12019</c:v>
                </c:pt>
              </c:strCache>
            </c:strRef>
          </c:cat>
          <c:val>
            <c:numRef>
              <c:f>'Charts En'!$N$70:$S$70</c:f>
              <c:numCache>
                <c:formatCode>0.0</c:formatCode>
                <c:ptCount val="6"/>
                <c:pt idx="0">
                  <c:v>-1.2976506508923902</c:v>
                </c:pt>
                <c:pt idx="1">
                  <c:v>2.7871557590812612</c:v>
                </c:pt>
                <c:pt idx="2">
                  <c:v>13.832878674426663</c:v>
                </c:pt>
                <c:pt idx="3">
                  <c:v>-7.4711450251755966</c:v>
                </c:pt>
                <c:pt idx="4">
                  <c:v>9.0332403091539568</c:v>
                </c:pt>
                <c:pt idx="5">
                  <c:v>0.88953963399676095</c:v>
                </c:pt>
              </c:numCache>
            </c:numRef>
          </c:val>
          <c:smooth val="0"/>
        </c:ser>
        <c:dLbls>
          <c:showLegendKey val="0"/>
          <c:showVal val="0"/>
          <c:showCatName val="0"/>
          <c:showSerName val="0"/>
          <c:showPercent val="0"/>
          <c:showBubbleSize val="0"/>
        </c:dLbls>
        <c:smooth val="0"/>
        <c:axId val="-91792336"/>
        <c:axId val="-91791248"/>
      </c:lineChart>
      <c:catAx>
        <c:axId val="-9179233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1248"/>
        <c:crosses val="autoZero"/>
        <c:auto val="1"/>
        <c:lblAlgn val="ctr"/>
        <c:lblOffset val="100"/>
        <c:noMultiLvlLbl val="0"/>
      </c:catAx>
      <c:valAx>
        <c:axId val="-91791248"/>
        <c:scaling>
          <c:orientation val="minMax"/>
          <c:max val="100"/>
          <c:min val="-3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2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35709352120458"/>
          <c:y val="5.0925925925925923E-2"/>
          <c:w val="0.8906429064787954"/>
          <c:h val="0.83586405999075808"/>
        </c:manualLayout>
      </c:layout>
      <c:lineChart>
        <c:grouping val="standard"/>
        <c:varyColors val="0"/>
        <c:ser>
          <c:idx val="0"/>
          <c:order val="0"/>
          <c:spPr>
            <a:ln w="28575" cap="rnd">
              <a:solidFill>
                <a:srgbClr val="D6A461"/>
              </a:solidFill>
              <a:round/>
            </a:ln>
            <a:effectLst/>
          </c:spPr>
          <c:marker>
            <c:symbol val="none"/>
          </c:marker>
          <c:dLbls>
            <c:dLbl>
              <c:idx val="0"/>
              <c:layout>
                <c:manualLayout>
                  <c:x val="-1.169590643274856E-2"/>
                  <c:y val="-4.647783976856226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052631578947368E-2"/>
                  <c:y val="-5.228756973963260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426900584795406E-2"/>
                  <c:y val="-4.647783976856236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5730994152046785E-2"/>
                  <c:y val="-4.06681097974921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3391812865496991E-2"/>
                  <c:y val="-5.80972997107028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4444444444444446E-2"/>
                  <c:y val="-5.228756973963260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En'!$N$94:$S$94</c:f>
              <c:strCache>
                <c:ptCount val="6"/>
                <c:pt idx="0">
                  <c:v>Q4 2017</c:v>
                </c:pt>
                <c:pt idx="1">
                  <c:v>Q12018</c:v>
                </c:pt>
                <c:pt idx="2">
                  <c:v>Q22018</c:v>
                </c:pt>
                <c:pt idx="3">
                  <c:v>Q32018</c:v>
                </c:pt>
                <c:pt idx="4">
                  <c:v>Q42018</c:v>
                </c:pt>
                <c:pt idx="5">
                  <c:v>Q12019</c:v>
                </c:pt>
              </c:strCache>
            </c:strRef>
          </c:cat>
          <c:val>
            <c:numRef>
              <c:f>'Charts En'!$N$95:$S$95</c:f>
              <c:numCache>
                <c:formatCode>0.0</c:formatCode>
                <c:ptCount val="6"/>
                <c:pt idx="0">
                  <c:v>14.094812364939614</c:v>
                </c:pt>
                <c:pt idx="1">
                  <c:v>8.0983455224563414</c:v>
                </c:pt>
                <c:pt idx="2">
                  <c:v>7.1792960599249778</c:v>
                </c:pt>
                <c:pt idx="3">
                  <c:v>8.6680343352274924</c:v>
                </c:pt>
                <c:pt idx="4">
                  <c:v>1.8496234904814335</c:v>
                </c:pt>
                <c:pt idx="5">
                  <c:v>2.5873931935217032</c:v>
                </c:pt>
              </c:numCache>
            </c:numRef>
          </c:val>
          <c:smooth val="0"/>
        </c:ser>
        <c:dLbls>
          <c:showLegendKey val="0"/>
          <c:showVal val="0"/>
          <c:showCatName val="0"/>
          <c:showSerName val="0"/>
          <c:showPercent val="0"/>
          <c:showBubbleSize val="0"/>
        </c:dLbls>
        <c:smooth val="0"/>
        <c:axId val="-91792880"/>
        <c:axId val="-91791792"/>
      </c:lineChart>
      <c:catAx>
        <c:axId val="-91792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1792"/>
        <c:crosses val="autoZero"/>
        <c:auto val="1"/>
        <c:lblAlgn val="ctr"/>
        <c:lblOffset val="100"/>
        <c:noMultiLvlLbl val="0"/>
      </c:catAx>
      <c:valAx>
        <c:axId val="-91791792"/>
        <c:scaling>
          <c:orientation val="minMax"/>
          <c:max val="50"/>
          <c:min val="-3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2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73194111605613"/>
          <c:y val="2.6997669794488716E-2"/>
          <c:w val="0.83226102172011107"/>
          <c:h val="0.82990505166590745"/>
        </c:manualLayout>
      </c:layout>
      <c:lineChart>
        <c:grouping val="standard"/>
        <c:varyColors val="0"/>
        <c:ser>
          <c:idx val="0"/>
          <c:order val="0"/>
          <c:spPr>
            <a:ln w="28575" cap="rnd">
              <a:solidFill>
                <a:srgbClr val="D6A461"/>
              </a:solidFill>
              <a:round/>
            </a:ln>
            <a:effectLst/>
          </c:spPr>
          <c:marker>
            <c:symbol val="none"/>
          </c:marker>
          <c:dLbls>
            <c:dLbl>
              <c:idx val="0"/>
              <c:layout>
                <c:manualLayout>
                  <c:x val="-5.7971014492753645E-2"/>
                  <c:y val="-4.419869313598640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132850241545893"/>
                      <c:h val="0.10305726365969871"/>
                    </c:manualLayout>
                  </c15:layout>
                </c:ext>
              </c:extLst>
            </c:dLbl>
            <c:dLbl>
              <c:idx val="1"/>
              <c:layout>
                <c:manualLayout>
                  <c:x val="-6.2801932367149801E-2"/>
                  <c:y val="-3.437691170818062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6497584541062803E-2"/>
                      <c:h val="5.8858377177752219E-2"/>
                    </c:manualLayout>
                  </c15:layout>
                </c:ext>
              </c:extLst>
            </c:dLbl>
            <c:dLbl>
              <c:idx val="2"/>
              <c:layout>
                <c:manualLayout>
                  <c:x val="-1.4492753623188406E-2"/>
                  <c:y val="-2.94659243212976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415458937198156E-3"/>
                  <c:y val="-2.4554936934414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7.2463768115942915E-3"/>
                  <c:y val="-3.43769117081806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6570048309178921E-2"/>
                  <c:y val="-2.946592432129767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En'!$N$116:$S$116</c:f>
              <c:strCache>
                <c:ptCount val="6"/>
                <c:pt idx="0">
                  <c:v>Q4 2017</c:v>
                </c:pt>
                <c:pt idx="1">
                  <c:v>Q12018</c:v>
                </c:pt>
                <c:pt idx="2">
                  <c:v>Q22018</c:v>
                </c:pt>
                <c:pt idx="3">
                  <c:v>Q32018</c:v>
                </c:pt>
                <c:pt idx="4">
                  <c:v>Q42018</c:v>
                </c:pt>
                <c:pt idx="5">
                  <c:v>Q12019</c:v>
                </c:pt>
              </c:strCache>
            </c:strRef>
          </c:cat>
          <c:val>
            <c:numRef>
              <c:f>'Charts En'!$N$117:$S$117</c:f>
              <c:numCache>
                <c:formatCode>0.0</c:formatCode>
                <c:ptCount val="6"/>
                <c:pt idx="0">
                  <c:v>11.192573876032853</c:v>
                </c:pt>
                <c:pt idx="1">
                  <c:v>8.99474143433061</c:v>
                </c:pt>
                <c:pt idx="2">
                  <c:v>8.7259250034060329</c:v>
                </c:pt>
                <c:pt idx="3">
                  <c:v>8.3195256227424963</c:v>
                </c:pt>
                <c:pt idx="4">
                  <c:v>8.0045844288267212</c:v>
                </c:pt>
                <c:pt idx="5">
                  <c:v>7.7635723478346241</c:v>
                </c:pt>
              </c:numCache>
            </c:numRef>
          </c:val>
          <c:smooth val="0"/>
        </c:ser>
        <c:dLbls>
          <c:showLegendKey val="0"/>
          <c:showVal val="0"/>
          <c:showCatName val="0"/>
          <c:showSerName val="0"/>
          <c:showPercent val="0"/>
          <c:showBubbleSize val="0"/>
        </c:dLbls>
        <c:smooth val="0"/>
        <c:axId val="-91803216"/>
        <c:axId val="-91787440"/>
      </c:lineChart>
      <c:catAx>
        <c:axId val="-9180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7440"/>
        <c:crosses val="autoZero"/>
        <c:auto val="1"/>
        <c:lblAlgn val="ctr"/>
        <c:lblOffset val="100"/>
        <c:noMultiLvlLbl val="0"/>
      </c:catAx>
      <c:valAx>
        <c:axId val="-91787440"/>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03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3092624797343E-2"/>
          <c:y val="5.0925925925925923E-2"/>
          <c:w val="0.88001213903944531"/>
          <c:h val="0.73643737241178187"/>
        </c:manualLayout>
      </c:layout>
      <c:barChart>
        <c:barDir val="col"/>
        <c:grouping val="clustered"/>
        <c:varyColors val="0"/>
        <c:ser>
          <c:idx val="0"/>
          <c:order val="0"/>
          <c:tx>
            <c:strRef>
              <c:f>Sheet1!$D$6</c:f>
              <c:strCache>
                <c:ptCount val="1"/>
                <c:pt idx="0">
                  <c:v>Q4 2018 with Q4 2017</c:v>
                </c:pt>
              </c:strCache>
            </c:strRef>
          </c:tx>
          <c:spPr>
            <a:solidFill>
              <a:srgbClr val="D8A66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Sheet1!$C$7:$C$11</c:f>
              <c:strCache>
                <c:ptCount val="5"/>
                <c:pt idx="0">
                  <c:v>Non-financial </c:v>
                </c:pt>
                <c:pt idx="1">
                  <c:v>Financial companies</c:v>
                </c:pt>
                <c:pt idx="2">
                  <c:v>General government</c:v>
                </c:pt>
                <c:pt idx="3">
                  <c:v>Households</c:v>
                </c:pt>
                <c:pt idx="4">
                  <c:v>GDP</c:v>
                </c:pt>
              </c:strCache>
            </c:strRef>
          </c:cat>
          <c:val>
            <c:numRef>
              <c:f>Sheet1!$D$7:$D$11</c:f>
              <c:numCache>
                <c:formatCode>0.0</c:formatCode>
                <c:ptCount val="5"/>
                <c:pt idx="0">
                  <c:v>4.1889931570299854</c:v>
                </c:pt>
                <c:pt idx="1">
                  <c:v>1.1910483094582425</c:v>
                </c:pt>
                <c:pt idx="2">
                  <c:v>-2.2260952597880856</c:v>
                </c:pt>
                <c:pt idx="3">
                  <c:v>3.0686907534445806</c:v>
                </c:pt>
                <c:pt idx="4">
                  <c:v>3.6984212508166303</c:v>
                </c:pt>
              </c:numCache>
            </c:numRef>
          </c:val>
        </c:ser>
        <c:ser>
          <c:idx val="1"/>
          <c:order val="1"/>
          <c:tx>
            <c:strRef>
              <c:f>Sheet1!$E$6</c:f>
              <c:strCache>
                <c:ptCount val="1"/>
                <c:pt idx="0">
                  <c:v>Q1 2019 with Q1 2018</c:v>
                </c:pt>
              </c:strCache>
            </c:strRef>
          </c:tx>
          <c:spPr>
            <a:solidFill>
              <a:srgbClr val="542A1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Sheet1!$C$7:$C$11</c:f>
              <c:strCache>
                <c:ptCount val="5"/>
                <c:pt idx="0">
                  <c:v>Non-financial </c:v>
                </c:pt>
                <c:pt idx="1">
                  <c:v>Financial companies</c:v>
                </c:pt>
                <c:pt idx="2">
                  <c:v>General government</c:v>
                </c:pt>
                <c:pt idx="3">
                  <c:v>Households</c:v>
                </c:pt>
                <c:pt idx="4">
                  <c:v>GDP</c:v>
                </c:pt>
              </c:strCache>
            </c:strRef>
          </c:cat>
          <c:val>
            <c:numRef>
              <c:f>Sheet1!$E$7:$E$11</c:f>
              <c:numCache>
                <c:formatCode>0.0</c:formatCode>
                <c:ptCount val="5"/>
                <c:pt idx="0">
                  <c:v>6.661798788894524</c:v>
                </c:pt>
                <c:pt idx="1">
                  <c:v>-2.3806979515594962</c:v>
                </c:pt>
                <c:pt idx="2">
                  <c:v>9.9369527453840867E-2</c:v>
                </c:pt>
                <c:pt idx="3">
                  <c:v>3.052827763812882</c:v>
                </c:pt>
                <c:pt idx="4">
                  <c:v>5.7152961774639799</c:v>
                </c:pt>
              </c:numCache>
            </c:numRef>
          </c:val>
        </c:ser>
        <c:dLbls>
          <c:showLegendKey val="0"/>
          <c:showVal val="0"/>
          <c:showCatName val="0"/>
          <c:showSerName val="0"/>
          <c:showPercent val="0"/>
          <c:showBubbleSize val="0"/>
        </c:dLbls>
        <c:gapWidth val="219"/>
        <c:overlap val="-27"/>
        <c:axId val="-91786896"/>
        <c:axId val="-91798864"/>
      </c:barChart>
      <c:catAx>
        <c:axId val="-9178689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8864"/>
        <c:crosses val="autoZero"/>
        <c:auto val="1"/>
        <c:lblAlgn val="ctr"/>
        <c:lblOffset val="100"/>
        <c:noMultiLvlLbl val="0"/>
      </c:catAx>
      <c:valAx>
        <c:axId val="-91798864"/>
        <c:scaling>
          <c:orientation val="minMax"/>
          <c:max val="20"/>
          <c:min val="-1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6896"/>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96455116235267E-2"/>
          <c:y val="8.9167185013509953E-2"/>
          <c:w val="0.878264426817846"/>
          <c:h val="0.77568634912487577"/>
        </c:manualLayout>
      </c:layout>
      <c:lineChart>
        <c:grouping val="standard"/>
        <c:varyColors val="0"/>
        <c:ser>
          <c:idx val="0"/>
          <c:order val="0"/>
          <c:spPr>
            <a:ln w="28575" cap="rnd">
              <a:solidFill>
                <a:srgbClr val="D6A461"/>
              </a:solidFill>
              <a:round/>
            </a:ln>
            <a:effectLst/>
          </c:spPr>
          <c:marker>
            <c:symbol val="none"/>
          </c:marker>
          <c:dLbls>
            <c:dLbl>
              <c:idx val="0"/>
              <c:layout>
                <c:manualLayout>
                  <c:x val="-4.3293876608318212E-3"/>
                  <c:y val="1.404933262240786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6552742439828411E-2"/>
                      <c:h val="8.0612752852367187E-2"/>
                    </c:manualLayout>
                  </c15:layout>
                </c:ext>
              </c:extLst>
            </c:dLbl>
            <c:dLbl>
              <c:idx val="1"/>
              <c:layout>
                <c:manualLayout>
                  <c:x val="-4.3294728866760867E-3"/>
                  <c:y val="1.68586681652148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3294728866761266E-3"/>
                  <c:y val="2.247822422028659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3294728866760468E-3"/>
                  <c:y val="2.809778027535819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'Charts En'!$N$136:$S$136</c:f>
              <c:strCache>
                <c:ptCount val="6"/>
                <c:pt idx="0">
                  <c:v>Q4 2017</c:v>
                </c:pt>
                <c:pt idx="1">
                  <c:v>Q12018</c:v>
                </c:pt>
                <c:pt idx="2">
                  <c:v>Q22018</c:v>
                </c:pt>
                <c:pt idx="3">
                  <c:v>Q32018</c:v>
                </c:pt>
                <c:pt idx="4">
                  <c:v>Q42018</c:v>
                </c:pt>
                <c:pt idx="5">
                  <c:v>Q12019</c:v>
                </c:pt>
              </c:strCache>
            </c:strRef>
          </c:cat>
          <c:val>
            <c:numRef>
              <c:f>'Charts En'!$N$137:$S$137</c:f>
              <c:numCache>
                <c:formatCode>0.0</c:formatCode>
                <c:ptCount val="6"/>
                <c:pt idx="0">
                  <c:v>-2.0892407847766137</c:v>
                </c:pt>
                <c:pt idx="1">
                  <c:v>-0.34776019994149365</c:v>
                </c:pt>
                <c:pt idx="2">
                  <c:v>1.3432449420762049</c:v>
                </c:pt>
                <c:pt idx="3">
                  <c:v>3.142480092203237</c:v>
                </c:pt>
                <c:pt idx="4">
                  <c:v>4.1889931570299854</c:v>
                </c:pt>
                <c:pt idx="5">
                  <c:v>6.661798788894524</c:v>
                </c:pt>
              </c:numCache>
            </c:numRef>
          </c:val>
          <c:smooth val="0"/>
        </c:ser>
        <c:dLbls>
          <c:showLegendKey val="0"/>
          <c:showVal val="0"/>
          <c:showCatName val="0"/>
          <c:showSerName val="0"/>
          <c:showPercent val="0"/>
          <c:showBubbleSize val="0"/>
        </c:dLbls>
        <c:smooth val="0"/>
        <c:axId val="-91800496"/>
        <c:axId val="-91797232"/>
      </c:lineChart>
      <c:catAx>
        <c:axId val="-9180049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7232"/>
        <c:crosses val="autoZero"/>
        <c:auto val="1"/>
        <c:lblAlgn val="ctr"/>
        <c:lblOffset val="100"/>
        <c:noMultiLvlLbl val="0"/>
      </c:catAx>
      <c:valAx>
        <c:axId val="-917972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00496"/>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0.00576</cdr:x>
      <cdr:y>0.42782</cdr:y>
    </cdr:from>
    <cdr:to>
      <cdr:x>0.04381</cdr:x>
      <cdr:y>0.64445</cdr:y>
    </cdr:to>
    <cdr:sp macro="" textlink="">
      <cdr:nvSpPr>
        <cdr:cNvPr id="2" name="TextBox 1"/>
        <cdr:cNvSpPr txBox="1"/>
      </cdr:nvSpPr>
      <cdr:spPr>
        <a:xfrm xmlns:a="http://schemas.openxmlformats.org/drawingml/2006/main">
          <a:off x="32749" y="1088826"/>
          <a:ext cx="216272" cy="551340"/>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t>
          </a:r>
          <a:endParaRPr lang="ar-SA" sz="11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0.49625</cdr:y>
    </cdr:from>
    <cdr:to>
      <cdr:x>0.03455</cdr:x>
      <cdr:y>0.67043</cdr:y>
    </cdr:to>
    <cdr:sp macro="" textlink="">
      <cdr:nvSpPr>
        <cdr:cNvPr id="2" name="TextBox 1"/>
        <cdr:cNvSpPr txBox="1"/>
      </cdr:nvSpPr>
      <cdr:spPr>
        <a:xfrm xmlns:a="http://schemas.openxmlformats.org/drawingml/2006/main">
          <a:off x="-863194" y="1433785"/>
          <a:ext cx="205110" cy="503249"/>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t>
          </a:r>
          <a:endParaRPr lang="ar-SA" sz="110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0.44238</cdr:y>
    </cdr:from>
    <cdr:to>
      <cdr:x>0.02975</cdr:x>
      <cdr:y>0.63683</cdr:y>
    </cdr:to>
    <cdr:sp macro="" textlink="">
      <cdr:nvSpPr>
        <cdr:cNvPr id="2" name="TextBox 1"/>
        <cdr:cNvSpPr txBox="1"/>
      </cdr:nvSpPr>
      <cdr:spPr>
        <a:xfrm xmlns:a="http://schemas.openxmlformats.org/drawingml/2006/main">
          <a:off x="0" y="966889"/>
          <a:ext cx="161520" cy="425003"/>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t>
          </a:r>
          <a:endParaRPr lang="ar-SA" sz="1100"/>
        </a:p>
      </cdr:txBody>
    </cdr:sp>
  </cdr:relSizeAnchor>
</c:userShapes>
</file>

<file path=word/drawings/drawing4.xml><?xml version="1.0" encoding="utf-8"?>
<c:userShapes xmlns:c="http://schemas.openxmlformats.org/drawingml/2006/chart">
  <cdr:relSizeAnchor xmlns:cdr="http://schemas.openxmlformats.org/drawingml/2006/chartDrawing">
    <cdr:from>
      <cdr:x>0.00743</cdr:x>
      <cdr:y>0.43652</cdr:y>
    </cdr:from>
    <cdr:to>
      <cdr:x>0.04336</cdr:x>
      <cdr:y>0.63336</cdr:y>
    </cdr:to>
    <cdr:sp macro="" textlink="">
      <cdr:nvSpPr>
        <cdr:cNvPr id="2" name="TextBox 1"/>
        <cdr:cNvSpPr txBox="1"/>
      </cdr:nvSpPr>
      <cdr:spPr>
        <a:xfrm xmlns:a="http://schemas.openxmlformats.org/drawingml/2006/main">
          <a:off x="39045" y="1128858"/>
          <a:ext cx="188913" cy="509036"/>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t>
          </a:r>
          <a:endParaRPr lang="ar-SA" sz="1100"/>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0.3805</cdr:y>
    </cdr:from>
    <cdr:to>
      <cdr:x>0.02917</cdr:x>
      <cdr:y>0.64908</cdr:y>
    </cdr:to>
    <cdr:sp macro="" textlink="">
      <cdr:nvSpPr>
        <cdr:cNvPr id="2" name="TextBox 1"/>
        <cdr:cNvSpPr txBox="1"/>
      </cdr:nvSpPr>
      <cdr:spPr>
        <a:xfrm xmlns:a="http://schemas.openxmlformats.org/drawingml/2006/main">
          <a:off x="-863194" y="859917"/>
          <a:ext cx="171133" cy="606981"/>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t>
          </a:r>
          <a:endParaRPr lang="ar-SA" sz="1100"/>
        </a:p>
      </cdr:txBody>
    </cdr:sp>
  </cdr:relSizeAnchor>
</c:userShapes>
</file>

<file path=word/drawings/drawing6.xml><?xml version="1.0" encoding="utf-8"?>
<c:userShapes xmlns:c="http://schemas.openxmlformats.org/drawingml/2006/chart">
  <cdr:relSizeAnchor xmlns:cdr="http://schemas.openxmlformats.org/drawingml/2006/chartDrawing">
    <cdr:from>
      <cdr:x>0.02569</cdr:x>
      <cdr:y>0.4213</cdr:y>
    </cdr:from>
    <cdr:to>
      <cdr:x>0.06319</cdr:x>
      <cdr:y>0.61574</cdr:y>
    </cdr:to>
    <cdr:sp macro="" textlink="">
      <cdr:nvSpPr>
        <cdr:cNvPr id="2" name="TextBox 1"/>
        <cdr:cNvSpPr txBox="1"/>
      </cdr:nvSpPr>
      <cdr:spPr>
        <a:xfrm xmlns:a="http://schemas.openxmlformats.org/drawingml/2006/main">
          <a:off x="117475" y="1155700"/>
          <a:ext cx="171450" cy="533400"/>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t>
          </a:r>
          <a:endParaRPr lang="ar-SA" sz="1100"/>
        </a:p>
      </cdr:txBody>
    </cdr:sp>
  </cdr:relSizeAnchor>
</c:userShapes>
</file>

<file path=word/drawings/drawing7.xml><?xml version="1.0" encoding="utf-8"?>
<c:userShapes xmlns:c="http://schemas.openxmlformats.org/drawingml/2006/chart">
  <cdr:relSizeAnchor xmlns:cdr="http://schemas.openxmlformats.org/drawingml/2006/chartDrawing">
    <cdr:from>
      <cdr:x>0.0109</cdr:x>
      <cdr:y>0.40731</cdr:y>
    </cdr:from>
    <cdr:to>
      <cdr:x>0.0484</cdr:x>
      <cdr:y>0.60175</cdr:y>
    </cdr:to>
    <cdr:sp macro="" textlink="">
      <cdr:nvSpPr>
        <cdr:cNvPr id="2" name="TextBox 1"/>
        <cdr:cNvSpPr txBox="1"/>
      </cdr:nvSpPr>
      <cdr:spPr>
        <a:xfrm xmlns:a="http://schemas.openxmlformats.org/drawingml/2006/main">
          <a:off x="64730" y="1064559"/>
          <a:ext cx="222623" cy="508200"/>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t>
          </a:r>
          <a:endParaRPr lang="ar-SA" sz="1100"/>
        </a:p>
      </cdr:txBody>
    </cdr:sp>
  </cdr:relSizeAnchor>
</c:userShapes>
</file>

<file path=word/drawings/drawing8.xml><?xml version="1.0" encoding="utf-8"?>
<c:userShapes xmlns:c="http://schemas.openxmlformats.org/drawingml/2006/chart">
  <cdr:relSizeAnchor xmlns:cdr="http://schemas.openxmlformats.org/drawingml/2006/chartDrawing">
    <cdr:from>
      <cdr:x>0.01944</cdr:x>
      <cdr:y>0.41782</cdr:y>
    </cdr:from>
    <cdr:to>
      <cdr:x>0.05694</cdr:x>
      <cdr:y>0.61227</cdr:y>
    </cdr:to>
    <cdr:sp macro="" textlink="">
      <cdr:nvSpPr>
        <cdr:cNvPr id="2" name="TextBox 1"/>
        <cdr:cNvSpPr txBox="1"/>
      </cdr:nvSpPr>
      <cdr:spPr>
        <a:xfrm xmlns:a="http://schemas.openxmlformats.org/drawingml/2006/main">
          <a:off x="88900" y="1146175"/>
          <a:ext cx="171450" cy="533400"/>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a:t>
          </a:r>
          <a:endParaRPr lang="ar-SA" sz="1100"/>
        </a:p>
      </cdr:txBody>
    </cdr:sp>
  </cdr:relSizeAnchor>
</c:userShapes>
</file>

<file path=word/theme/theme1.xml><?xml version="1.0" encoding="utf-8"?>
<a:theme xmlns:a="http://schemas.openxmlformats.org/drawingml/2006/main" name="Economy_Theme">
  <a:themeElements>
    <a:clrScheme name="Economy">
      <a:dk1>
        <a:srgbClr val="595959"/>
      </a:dk1>
      <a:lt1>
        <a:srgbClr val="FFFFFF"/>
      </a:lt1>
      <a:dk2>
        <a:srgbClr val="D6A461"/>
      </a:dk2>
      <a:lt2>
        <a:srgbClr val="FFFFFF"/>
      </a:lt2>
      <a:accent1>
        <a:srgbClr val="D6A461"/>
      </a:accent1>
      <a:accent2>
        <a:srgbClr val="562800"/>
      </a:accent2>
      <a:accent3>
        <a:srgbClr val="6D6E71"/>
      </a:accent3>
      <a:accent4>
        <a:srgbClr val="DADDDF"/>
      </a:accent4>
      <a:accent5>
        <a:srgbClr val="AA9F8A"/>
      </a:accent5>
      <a:accent6>
        <a:srgbClr val="99502B"/>
      </a:accent6>
      <a:hlink>
        <a:srgbClr val="5C4018"/>
      </a:hlink>
      <a:folHlink>
        <a:srgbClr val="8A1E04"/>
      </a:folHlink>
    </a:clrScheme>
    <a:fontScheme name="SCAD">
      <a:majorFont>
        <a:latin typeface="Arial"/>
        <a:ea typeface=""/>
        <a:cs typeface="Tahoma"/>
      </a:majorFont>
      <a:minorFont>
        <a:latin typeface="Arial"/>
        <a:ea typeface=""/>
        <a:cs typeface="Taho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easeLookup xmlns="cac204a3-57fb-4aea-ba50-989298fa4f73" xsi:nil="true"/>
    <UpdatedInSMARTSCAD xmlns="cac204a3-57fb-4aea-ba50-989298fa4f73" xsi:nil="true"/>
    <TitleAr xmlns="cac204a3-57fb-4aea-ba50-989298fa4f73" xsi:nil="true"/>
    <KeyWordsAr xmlns="cac204a3-57fb-4aea-ba50-989298fa4f73">الناتج المحلي الاجمالي الربع سنوي</KeyWordsAr>
    <KeyWords xmlns="cac204a3-57fb-4aea-ba50-989298fa4f73">Quarterly GDP</KeyWords>
    <ReleaseID_DB xmlns="cac204a3-57fb-4aea-ba50-989298fa4f73">11290</ReleaseID_DB>
    <DocumentType xmlns="cac204a3-57fb-4aea-ba50-989298fa4f73" xsi:nil="true"/>
    <Language xmlns="cac204a3-57fb-4aea-ba50-989298fa4f73">Both</Language>
    <Order0 xmlns="cac204a3-57fb-4aea-ba50-989298fa4f73" xsi:nil="true"/>
  </documentManagement>
</p:properties>
</file>

<file path=customXml/itemProps1.xml><?xml version="1.0" encoding="utf-8"?>
<ds:datastoreItem xmlns:ds="http://schemas.openxmlformats.org/officeDocument/2006/customXml" ds:itemID="{285B9FE4-156F-45A9-BD0F-87F0ADC3B76D}">
  <ds:schemaRefs>
    <ds:schemaRef ds:uri="http://schemas.openxmlformats.org/officeDocument/2006/bibliography"/>
  </ds:schemaRefs>
</ds:datastoreItem>
</file>

<file path=customXml/itemProps2.xml><?xml version="1.0" encoding="utf-8"?>
<ds:datastoreItem xmlns:ds="http://schemas.openxmlformats.org/officeDocument/2006/customXml" ds:itemID="{455B4292-F033-4D09-BEBB-FB0F4FF6A197}"/>
</file>

<file path=customXml/itemProps3.xml><?xml version="1.0" encoding="utf-8"?>
<ds:datastoreItem xmlns:ds="http://schemas.openxmlformats.org/officeDocument/2006/customXml" ds:itemID="{BAD72C5D-331D-45A2-BA1C-16F827B79CC9}"/>
</file>

<file path=customXml/itemProps4.xml><?xml version="1.0" encoding="utf-8"?>
<ds:datastoreItem xmlns:ds="http://schemas.openxmlformats.org/officeDocument/2006/customXml" ds:itemID="{DB58BBB8-35A4-4421-8E8E-4EEBC187F37F}"/>
</file>

<file path=docProps/app.xml><?xml version="1.0" encoding="utf-8"?>
<Properties xmlns="http://schemas.openxmlformats.org/officeDocument/2006/extended-properties" xmlns:vt="http://schemas.openxmlformats.org/officeDocument/2006/docPropsVTypes">
  <Template>ECO_Qartarly-Annual_EN_V3.3.dotx</Template>
  <TotalTime>9072</TotalTime>
  <Pages>23</Pages>
  <Words>4699</Words>
  <Characters>26788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31425</CharactersWithSpaces>
  <SharedDoc>false</SharedDoc>
  <HLinks>
    <vt:vector size="78" baseType="variant">
      <vt:variant>
        <vt:i4>1441848</vt:i4>
      </vt:variant>
      <vt:variant>
        <vt:i4>74</vt:i4>
      </vt:variant>
      <vt:variant>
        <vt:i4>0</vt:i4>
      </vt:variant>
      <vt:variant>
        <vt:i4>5</vt:i4>
      </vt:variant>
      <vt:variant>
        <vt:lpwstr/>
      </vt:variant>
      <vt:variant>
        <vt:lpwstr>_Toc430687436</vt:lpwstr>
      </vt:variant>
      <vt:variant>
        <vt:i4>1441848</vt:i4>
      </vt:variant>
      <vt:variant>
        <vt:i4>68</vt:i4>
      </vt:variant>
      <vt:variant>
        <vt:i4>0</vt:i4>
      </vt:variant>
      <vt:variant>
        <vt:i4>5</vt:i4>
      </vt:variant>
      <vt:variant>
        <vt:lpwstr/>
      </vt:variant>
      <vt:variant>
        <vt:lpwstr>_Toc430687435</vt:lpwstr>
      </vt:variant>
      <vt:variant>
        <vt:i4>1441848</vt:i4>
      </vt:variant>
      <vt:variant>
        <vt:i4>62</vt:i4>
      </vt:variant>
      <vt:variant>
        <vt:i4>0</vt:i4>
      </vt:variant>
      <vt:variant>
        <vt:i4>5</vt:i4>
      </vt:variant>
      <vt:variant>
        <vt:lpwstr/>
      </vt:variant>
      <vt:variant>
        <vt:lpwstr>_Toc430687434</vt:lpwstr>
      </vt:variant>
      <vt:variant>
        <vt:i4>1441848</vt:i4>
      </vt:variant>
      <vt:variant>
        <vt:i4>56</vt:i4>
      </vt:variant>
      <vt:variant>
        <vt:i4>0</vt:i4>
      </vt:variant>
      <vt:variant>
        <vt:i4>5</vt:i4>
      </vt:variant>
      <vt:variant>
        <vt:lpwstr/>
      </vt:variant>
      <vt:variant>
        <vt:lpwstr>_Toc430687433</vt:lpwstr>
      </vt:variant>
      <vt:variant>
        <vt:i4>1441848</vt:i4>
      </vt:variant>
      <vt:variant>
        <vt:i4>50</vt:i4>
      </vt:variant>
      <vt:variant>
        <vt:i4>0</vt:i4>
      </vt:variant>
      <vt:variant>
        <vt:i4>5</vt:i4>
      </vt:variant>
      <vt:variant>
        <vt:lpwstr/>
      </vt:variant>
      <vt:variant>
        <vt:lpwstr>_Toc430687432</vt:lpwstr>
      </vt:variant>
      <vt:variant>
        <vt:i4>1441848</vt:i4>
      </vt:variant>
      <vt:variant>
        <vt:i4>44</vt:i4>
      </vt:variant>
      <vt:variant>
        <vt:i4>0</vt:i4>
      </vt:variant>
      <vt:variant>
        <vt:i4>5</vt:i4>
      </vt:variant>
      <vt:variant>
        <vt:lpwstr/>
      </vt:variant>
      <vt:variant>
        <vt:lpwstr>_Toc430687431</vt:lpwstr>
      </vt:variant>
      <vt:variant>
        <vt:i4>1441848</vt:i4>
      </vt:variant>
      <vt:variant>
        <vt:i4>38</vt:i4>
      </vt:variant>
      <vt:variant>
        <vt:i4>0</vt:i4>
      </vt:variant>
      <vt:variant>
        <vt:i4>5</vt:i4>
      </vt:variant>
      <vt:variant>
        <vt:lpwstr/>
      </vt:variant>
      <vt:variant>
        <vt:lpwstr>_Toc430687430</vt:lpwstr>
      </vt:variant>
      <vt:variant>
        <vt:i4>1507384</vt:i4>
      </vt:variant>
      <vt:variant>
        <vt:i4>32</vt:i4>
      </vt:variant>
      <vt:variant>
        <vt:i4>0</vt:i4>
      </vt:variant>
      <vt:variant>
        <vt:i4>5</vt:i4>
      </vt:variant>
      <vt:variant>
        <vt:lpwstr/>
      </vt:variant>
      <vt:variant>
        <vt:lpwstr>_Toc430687429</vt:lpwstr>
      </vt:variant>
      <vt:variant>
        <vt:i4>1507384</vt:i4>
      </vt:variant>
      <vt:variant>
        <vt:i4>26</vt:i4>
      </vt:variant>
      <vt:variant>
        <vt:i4>0</vt:i4>
      </vt:variant>
      <vt:variant>
        <vt:i4>5</vt:i4>
      </vt:variant>
      <vt:variant>
        <vt:lpwstr/>
      </vt:variant>
      <vt:variant>
        <vt:lpwstr>_Toc430687428</vt:lpwstr>
      </vt:variant>
      <vt:variant>
        <vt:i4>1507384</vt:i4>
      </vt:variant>
      <vt:variant>
        <vt:i4>20</vt:i4>
      </vt:variant>
      <vt:variant>
        <vt:i4>0</vt:i4>
      </vt:variant>
      <vt:variant>
        <vt:i4>5</vt:i4>
      </vt:variant>
      <vt:variant>
        <vt:lpwstr/>
      </vt:variant>
      <vt:variant>
        <vt:lpwstr>_Toc430687427</vt:lpwstr>
      </vt:variant>
      <vt:variant>
        <vt:i4>1507384</vt:i4>
      </vt:variant>
      <vt:variant>
        <vt:i4>14</vt:i4>
      </vt:variant>
      <vt:variant>
        <vt:i4>0</vt:i4>
      </vt:variant>
      <vt:variant>
        <vt:i4>5</vt:i4>
      </vt:variant>
      <vt:variant>
        <vt:lpwstr/>
      </vt:variant>
      <vt:variant>
        <vt:lpwstr>_Toc430687426</vt:lpwstr>
      </vt:variant>
      <vt:variant>
        <vt:i4>1507384</vt:i4>
      </vt:variant>
      <vt:variant>
        <vt:i4>8</vt:i4>
      </vt:variant>
      <vt:variant>
        <vt:i4>0</vt:i4>
      </vt:variant>
      <vt:variant>
        <vt:i4>5</vt:i4>
      </vt:variant>
      <vt:variant>
        <vt:lpwstr/>
      </vt:variant>
      <vt:variant>
        <vt:lpwstr>_Toc430687425</vt:lpwstr>
      </vt:variant>
      <vt:variant>
        <vt:i4>1507384</vt:i4>
      </vt:variant>
      <vt:variant>
        <vt:i4>2</vt:i4>
      </vt:variant>
      <vt:variant>
        <vt:i4>0</vt:i4>
      </vt:variant>
      <vt:variant>
        <vt:i4>5</vt:i4>
      </vt:variant>
      <vt:variant>
        <vt:lpwstr/>
      </vt:variant>
      <vt:variant>
        <vt:lpwstr>_Toc430687424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 Sadik Alrawi</dc:creator>
  <cp:keywords/>
  <dc:description/>
  <cp:lastModifiedBy>Wadeema Mohamed Alkhoori</cp:lastModifiedBy>
  <cp:revision>376</cp:revision>
  <cp:lastPrinted>2019-06-27T08:52:00Z</cp:lastPrinted>
  <dcterms:created xsi:type="dcterms:W3CDTF">2017-06-14T09:45:00Z</dcterms:created>
  <dcterms:modified xsi:type="dcterms:W3CDTF">2019-06-30T09:57:00Z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